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D6D9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：</w:t>
      </w:r>
    </w:p>
    <w:p w14:paraId="73326B6C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Cs w:val="44"/>
          <w:u w:val="none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Cs w:val="44"/>
          <w:u w:val="none"/>
        </w:rPr>
        <w:t>采购项目要求</w:t>
      </w:r>
    </w:p>
    <w:p w14:paraId="7BD4F2F7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</w:rPr>
      </w:pPr>
    </w:p>
    <w:p w14:paraId="53648A87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功能设计</w:t>
      </w:r>
    </w:p>
    <w:p w14:paraId="0D15D2F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1.打造“人大+工会”联动普法工作机制；法律服务终端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全面对接人大立法、劳动保障、建会入会、集体协商等工会工作领域，系统整合我国现行法律法规及政策文件；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终端同时提供人大、工会相关普法学法资源，创新采用视频、漫画、图文等多元化普法宣传形式，根据区域特点精准配置普法内容。</w:t>
      </w:r>
    </w:p>
    <w:p w14:paraId="7D3A9B6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“人大+工会”联动学法平台；法律服务终端开设民法典专题模块，包含新旧民法典对照学习、民法典热点问答及民法典知识竞赛等内容，通过系统化知识点呈现与互动式答题相结合的方式，扎实推进民法典普法宣传工作。</w:t>
      </w:r>
    </w:p>
    <w:p w14:paraId="5BAFB6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TW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提供接入DeepSeek大语音模型的智能问答系统，深度融合本地化轻量级DeepSeek模型与云端增强服务，以构建具备专业法律知识处理能力的智能法律问答功能，实现全时域响应与高专业度保障，满足企业劳工7*24小时在线即时法律问题响应，无论问题简单还是复杂，都能迅速给出法律解答，解决群众随时问的需求；同时，该系统也能为“人大+工会”分站阵地建设提供有力支持，全面强化法律服务AI能力，有效提升基层法律服务效能。</w:t>
      </w:r>
    </w:p>
    <w:p w14:paraId="34B00B9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4.提供高效便捷的法律服务功能组件，重点涵盖工会领域常用法律文书、劳动用工法律咨询意见书、赔偿计算及法务地图等模块，切实为企业劳工人员解决法律问题提供及时有效的法律服务。</w:t>
      </w:r>
    </w:p>
    <w:p w14:paraId="43494FD6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Hans" w:bidi="ar-SA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功能描述</w:t>
      </w:r>
    </w:p>
    <w:p w14:paraId="3D6EBFEE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0" w:name="_Toc199919528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一体机软件功能</w:t>
      </w:r>
      <w:bookmarkEnd w:id="0"/>
    </w:p>
    <w:p w14:paraId="620ADE28">
      <w:pPr>
        <w:pStyle w:val="5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732" w:firstLineChars="228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“人大+工会”联动普法</w:t>
      </w:r>
    </w:p>
    <w:p w14:paraId="37280B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（1）法律法规库：整合我国绝大多数的法律法规、政策文件，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包括人大立法、劳动保障、建会入会、集体协商等；</w:t>
      </w:r>
      <w:r>
        <w:rPr>
          <w:rFonts w:hint="eastAsia" w:ascii="仿宋" w:hAnsi="仿宋" w:eastAsia="仿宋" w:cs="仿宋"/>
          <w:sz w:val="32"/>
          <w:szCs w:val="32"/>
        </w:rPr>
        <w:t>支持关键词搜索、条件搜索功能。</w:t>
      </w:r>
    </w:p>
    <w:p w14:paraId="5A808E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）以案说法：收录专业法律人士对热点案件的解析，帮助职工以案学法、增强维权意识。</w:t>
      </w:r>
    </w:p>
    <w:p w14:paraId="1C3A5C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）普法视频：提供丰富的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人大+工会相关的</w:t>
      </w:r>
      <w:r>
        <w:rPr>
          <w:rFonts w:hint="eastAsia" w:ascii="仿宋" w:hAnsi="仿宋" w:eastAsia="仿宋" w:cs="仿宋"/>
          <w:sz w:val="32"/>
          <w:szCs w:val="32"/>
        </w:rPr>
        <w:t>普法短视频供职工浏览，支持在线播放。</w:t>
      </w:r>
    </w:p>
    <w:p w14:paraId="17AC52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32" w:firstLineChars="228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2.“人大+工会”联动学法</w:t>
      </w:r>
    </w:p>
    <w:p w14:paraId="6555BD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9" w:firstLineChars="228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民法典：包含新旧民法典对照学习、民法典热点问答及民法典知识竞赛等内容，通过系统化知识点呈现与互动式答题相结合的方式，扎实推进民法典普法宣传工作。</w:t>
      </w:r>
    </w:p>
    <w:p w14:paraId="72A9C2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32" w:firstLineChars="228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3.智能咨询问答系统</w:t>
      </w:r>
    </w:p>
    <w:p w14:paraId="55F98A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智能咨询（融合Deepseek）：深度对接Deepseek大语言模型，职工输入法律问题后，系统通过自然语言处理技术解析需求，精准匹配法律条文与案例，提供7×24小时即时解答。例如，针对襄阳纺织、汽车制造等支柱产业常见的劳动合同纠纷、工伤认定问题，可快速生成专业解答。</w:t>
      </w:r>
    </w:p>
    <w:p w14:paraId="5FFD08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（2）智能法律意见书：基于职工咨询内容，系统自动生成结构化法律意见书，涵盖情况分析、处理建议、法律依据、参考案例等内容。意见书支持在线预览、扫码下载，为职工后续维权提供书面指导。</w:t>
      </w:r>
    </w:p>
    <w:p w14:paraId="404828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律师视频咨询（连线工会坐席律师）：整合襄阳市工会合作律师资源，建立律师排班机制。职工点击“律师视频咨询”后，系统自动连线律师，支持视频通话、语音通话、文件传输等功能，实现“面对面”专业法律咨询服务。</w:t>
      </w:r>
    </w:p>
    <w:p w14:paraId="47FF5440">
      <w:pPr>
        <w:pStyle w:val="5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864" w:leftChars="0" w:hanging="224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高效便捷的法律服务功能组件</w:t>
      </w:r>
    </w:p>
    <w:p w14:paraId="792818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找律师：展示襄阳市工会合作律师信息，包括执业年限、擅长领域等，职工可语音描述法律问题，系统快速精准匹配合适律师。</w:t>
      </w:r>
    </w:p>
    <w:p w14:paraId="7BED3F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法务地图：展示襄阳市本地的工会服务中心、法律服务机构等机构信息。</w:t>
      </w:r>
    </w:p>
    <w:p w14:paraId="503084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）赔偿计算：内置工伤赔偿、交通事故赔偿、加班工资、年休假等多种赔偿计算公式，职工输入相关参数，即可自动生成赔偿金额预估结果。</w:t>
      </w:r>
    </w:p>
    <w:p w14:paraId="0EA170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（4）法律文书模板：提供劳动合同、仲裁申请书、劳动报酬追索等超100份常用法律文书模板，支持在线编辑、格式校验，降低职工文书撰写门槛。</w:t>
      </w:r>
    </w:p>
    <w:p w14:paraId="49639C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（5）办事指南：以图文、视频形式展示法律援助申请条件、流程、所需材料，以及在线调解、劳动仲裁等业务办理指南，帮助职工清晰了解维权路径。</w:t>
      </w:r>
    </w:p>
    <w:p w14:paraId="31A9B0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）工会法律援助申请：提供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工会援助信息查询，可查看工会援助流程，方便职工办理援助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D65FC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）工会在线调解申请：自动跳转襄阳市总工会现有在线调解系统。</w:t>
      </w:r>
      <w:bookmarkStart w:id="1" w:name="_Toc199919529"/>
    </w:p>
    <w:p w14:paraId="49E28D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一体机硬件组件</w:t>
      </w:r>
      <w:bookmarkEnd w:id="1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5579"/>
      </w:tblGrid>
      <w:tr w14:paraId="76A1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F57403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 w14:paraId="1147720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组件名称</w:t>
            </w:r>
          </w:p>
        </w:tc>
        <w:tc>
          <w:tcPr>
            <w:tcW w:w="5579" w:type="dxa"/>
            <w:vAlign w:val="center"/>
          </w:tcPr>
          <w:p w14:paraId="7CEEF7B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参数</w:t>
            </w:r>
          </w:p>
        </w:tc>
      </w:tr>
      <w:tr w14:paraId="0330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599A9B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984" w:type="dxa"/>
            <w:vAlign w:val="center"/>
          </w:tcPr>
          <w:p w14:paraId="1311D23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显示屏</w:t>
            </w:r>
          </w:p>
        </w:tc>
        <w:tc>
          <w:tcPr>
            <w:tcW w:w="5579" w:type="dxa"/>
            <w:vAlign w:val="center"/>
          </w:tcPr>
          <w:p w14:paraId="2DBB3D7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32英寸，液晶显示屏，分辨率1920*1080，点击寿命≥6千万次单点触摸</w:t>
            </w:r>
          </w:p>
        </w:tc>
      </w:tr>
      <w:tr w14:paraId="4FBD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D3FC24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984" w:type="dxa"/>
            <w:vAlign w:val="center"/>
          </w:tcPr>
          <w:p w14:paraId="120D770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主板</w:t>
            </w:r>
          </w:p>
        </w:tc>
        <w:tc>
          <w:tcPr>
            <w:tcW w:w="5579" w:type="dxa"/>
            <w:vAlign w:val="center"/>
          </w:tcPr>
          <w:p w14:paraId="299B8EA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CPU数量6核，内存4G，储存16G</w:t>
            </w:r>
          </w:p>
        </w:tc>
      </w:tr>
      <w:tr w14:paraId="5FE3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9A036E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984" w:type="dxa"/>
            <w:vAlign w:val="center"/>
          </w:tcPr>
          <w:p w14:paraId="0267058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网络</w:t>
            </w:r>
          </w:p>
        </w:tc>
        <w:tc>
          <w:tcPr>
            <w:tcW w:w="5579" w:type="dxa"/>
            <w:vAlign w:val="center"/>
          </w:tcPr>
          <w:p w14:paraId="454AC13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支持Wi-Fi和有线网络接入</w:t>
            </w:r>
          </w:p>
        </w:tc>
      </w:tr>
      <w:tr w14:paraId="2F49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666536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984" w:type="dxa"/>
            <w:vAlign w:val="center"/>
          </w:tcPr>
          <w:p w14:paraId="3E9A094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摄像头</w:t>
            </w:r>
          </w:p>
        </w:tc>
        <w:tc>
          <w:tcPr>
            <w:tcW w:w="5579" w:type="dxa"/>
            <w:vAlign w:val="center"/>
          </w:tcPr>
          <w:p w14:paraId="3663D75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分辨率1920*1080,200万像素</w:t>
            </w:r>
          </w:p>
        </w:tc>
      </w:tr>
      <w:tr w14:paraId="2EB2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B85D5E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984" w:type="dxa"/>
            <w:vAlign w:val="center"/>
          </w:tcPr>
          <w:p w14:paraId="386D110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话筒</w:t>
            </w:r>
          </w:p>
        </w:tc>
        <w:tc>
          <w:tcPr>
            <w:tcW w:w="5579" w:type="dxa"/>
            <w:vAlign w:val="center"/>
          </w:tcPr>
          <w:p w14:paraId="4B34411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特种防爆PC+ABS材质手持话筒</w:t>
            </w:r>
          </w:p>
        </w:tc>
      </w:tr>
      <w:tr w14:paraId="71AC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C2759E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984" w:type="dxa"/>
            <w:vAlign w:val="center"/>
          </w:tcPr>
          <w:p w14:paraId="7CB12B5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身份证阅读器</w:t>
            </w:r>
          </w:p>
        </w:tc>
        <w:tc>
          <w:tcPr>
            <w:tcW w:w="5579" w:type="dxa"/>
            <w:vAlign w:val="center"/>
          </w:tcPr>
          <w:p w14:paraId="33D79CF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支持所有标准二代身份证读取</w:t>
            </w:r>
          </w:p>
        </w:tc>
      </w:tr>
      <w:tr w14:paraId="29E9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D1B56F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984" w:type="dxa"/>
            <w:vAlign w:val="center"/>
          </w:tcPr>
          <w:p w14:paraId="4CE43AD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机柜</w:t>
            </w:r>
          </w:p>
        </w:tc>
        <w:tc>
          <w:tcPr>
            <w:tcW w:w="5579" w:type="dxa"/>
            <w:vAlign w:val="center"/>
          </w:tcPr>
          <w:p w14:paraId="6AB12BC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防尘防暴，620mm（长）*680mm（宽）*1800mm（高）</w:t>
            </w:r>
          </w:p>
        </w:tc>
      </w:tr>
      <w:tr w14:paraId="2814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6F3DA0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984" w:type="dxa"/>
            <w:vAlign w:val="center"/>
          </w:tcPr>
          <w:p w14:paraId="53FEE3C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电源</w:t>
            </w:r>
          </w:p>
        </w:tc>
        <w:tc>
          <w:tcPr>
            <w:tcW w:w="5579" w:type="dxa"/>
            <w:vAlign w:val="center"/>
          </w:tcPr>
          <w:p w14:paraId="74742DF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输入电压AC 100-240V，输入电流2.0A Max</w:t>
            </w:r>
          </w:p>
        </w:tc>
      </w:tr>
      <w:tr w14:paraId="58F5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71273B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984" w:type="dxa"/>
            <w:vAlign w:val="center"/>
          </w:tcPr>
          <w:p w14:paraId="29EEE9C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操作系统</w:t>
            </w:r>
          </w:p>
        </w:tc>
        <w:tc>
          <w:tcPr>
            <w:tcW w:w="5579" w:type="dxa"/>
            <w:vAlign w:val="center"/>
          </w:tcPr>
          <w:p w14:paraId="4D8A97F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Android 7.1</w:t>
            </w:r>
          </w:p>
        </w:tc>
      </w:tr>
    </w:tbl>
    <w:p w14:paraId="21C604C3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Hans" w:bidi="ar-SA"/>
        </w:rPr>
        <w:t>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质量要求</w:t>
      </w:r>
    </w:p>
    <w:p w14:paraId="6D6309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为保证安全及质量，</w:t>
      </w:r>
      <w:r>
        <w:rPr>
          <w:rFonts w:hint="eastAsia" w:ascii="仿宋" w:hAnsi="仿宋" w:eastAsia="仿宋" w:cs="仿宋"/>
          <w:sz w:val="32"/>
          <w:szCs w:val="32"/>
        </w:rPr>
        <w:t>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要求完成</w:t>
      </w:r>
      <w:r>
        <w:rPr>
          <w:rFonts w:hint="eastAsia" w:ascii="仿宋" w:hAnsi="仿宋" w:eastAsia="仿宋" w:cs="仿宋"/>
          <w:sz w:val="32"/>
          <w:szCs w:val="32"/>
        </w:rPr>
        <w:t>深度合成服务算法备案，响应文件中提供中央网络安全和信息化委员办公室（中华人民共和国国家互联网信息办公室）网页公示截图证明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10CBBAE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1365" w:leftChars="0" w:hanging="720" w:firstLine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四、商务要求</w:t>
      </w:r>
    </w:p>
    <w:p w14:paraId="1D40E1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为保证实际能力与经验，要求供应商提供以往的合作案例，响应文件中提供法律服务终端的类似业绩证明。</w:t>
      </w:r>
    </w:p>
    <w:p w14:paraId="2F2285A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E1F44"/>
    <w:multiLevelType w:val="multilevel"/>
    <w:tmpl w:val="028E1F44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44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C6693"/>
    <w:rsid w:val="057274FF"/>
    <w:rsid w:val="159A3ED7"/>
    <w:rsid w:val="27646268"/>
    <w:rsid w:val="6F9C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/>
      <w:jc w:val="center"/>
      <w:outlineLvl w:val="0"/>
    </w:pPr>
    <w:rPr>
      <w:rFonts w:ascii="Calibri" w:hAnsi="Calibri" w:eastAsia="楷体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left"/>
      <w:outlineLvl w:val="1"/>
    </w:pPr>
    <w:rPr>
      <w:rFonts w:ascii="Arial" w:hAnsi="Arial" w:eastAsia="楷体"/>
      <w:b/>
      <w:sz w:val="32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next w:val="1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Times New Roman" w:eastAsia="宋体"/>
      <w:szCs w:val="20"/>
      <w:lang w:val="zh-CN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99"/>
    <w:rPr>
      <w:rFonts w:cs="Times New Roman"/>
      <w:color w:val="0000FF"/>
      <w:u w:val="single"/>
    </w:rPr>
  </w:style>
  <w:style w:type="paragraph" w:customStyle="1" w:styleId="12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1793</Words>
  <Characters>1907</Characters>
  <Lines>0</Lines>
  <Paragraphs>0</Paragraphs>
  <TotalTime>259</TotalTime>
  <ScaleCrop>false</ScaleCrop>
  <LinksUpToDate>false</LinksUpToDate>
  <CharactersWithSpaces>1910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2026-03-04T03:01:00Z</dcterms:created>
  <dc:creator>识度</dc:creator>
  <cp:lastModifiedBy>一米阳光</cp:lastModifiedBy>
  <dcterms:modified xsi:type="dcterms:W3CDTF">2026-03-31T09:29:06Z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499E9D2C44D243BCAE9AC0B9EE5A35F8_11</vt:lpwstr>
  </property>
  <property fmtid="{D5CDD505-2E9C-101B-9397-08002B2CF9AE}" pid="4" name="KSOTemplateDocerSaveRecord">
    <vt:lpwstr>eyJoZGlkIjoiYjQzMmNlMWY5MGUyNzA5Mzc5OTQ5OTdlNTMwYTk3ZmQiLCJ1c2VySWQiOiI0MDc5MDcxMzcifQ==</vt:lpwstr>
  </property>
</Properties>
</file>