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襄阳市工会干部学校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年度部门预算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before="240" w:after="240" w:line="36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before="240" w:after="240" w:line="360" w:lineRule="auto"/>
        <w:ind w:firstLine="64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目    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after="240" w:line="360" w:lineRule="auto"/>
        <w:ind w:firstLine="64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Style w:val="6"/>
          <w:rFonts w:hint="eastAsia" w:ascii="黑体" w:hAnsi="黑体" w:eastAsia="黑体" w:cs="黑体"/>
          <w:sz w:val="32"/>
          <w:szCs w:val="32"/>
          <w:rtl w:val="0"/>
        </w:rPr>
        <w:t>第一部分</w:t>
      </w:r>
      <w:r>
        <w:rPr>
          <w:rStyle w:val="6"/>
          <w:rFonts w:hint="eastAsia" w:ascii="黑体" w:hAnsi="黑体" w:eastAsia="黑体" w:cs="黑体"/>
          <w:sz w:val="32"/>
          <w:szCs w:val="32"/>
          <w:rtl w:val="0"/>
          <w:lang w:val="en-US" w:eastAsia="zh-CN"/>
        </w:rPr>
        <w:t xml:space="preserve"> </w:t>
      </w:r>
      <w:r>
        <w:rPr>
          <w:rStyle w:val="6"/>
          <w:rFonts w:hint="eastAsia" w:ascii="黑体" w:hAnsi="黑体" w:eastAsia="黑体" w:cs="黑体"/>
          <w:sz w:val="32"/>
          <w:szCs w:val="32"/>
          <w:u w:val="none"/>
          <w:rtl w:val="0"/>
          <w:lang w:val="en-US" w:eastAsia="zh-CN"/>
        </w:rPr>
        <w:t>部门</w:t>
      </w:r>
      <w:r>
        <w:rPr>
          <w:rStyle w:val="6"/>
          <w:rFonts w:hint="eastAsia" w:ascii="黑体" w:hAnsi="黑体" w:eastAsia="黑体" w:cs="黑体"/>
          <w:sz w:val="32"/>
          <w:szCs w:val="32"/>
          <w:rtl w:val="0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781" w:rightChars="-244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  <w:highlight w:val="none"/>
          <w:rtl w:val="0"/>
        </w:rPr>
        <w:t>一、部门主要</w:t>
      </w:r>
      <w:r>
        <w:rPr>
          <w:rFonts w:hint="eastAsia" w:ascii="仿宋_GB2312" w:hAnsi="宋体" w:cs="Times New Roman"/>
          <w:bCs/>
          <w:sz w:val="32"/>
          <w:szCs w:val="32"/>
          <w:highlight w:val="none"/>
          <w:rtl w:val="0"/>
          <w:lang w:eastAsia="zh-CN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781" w:rightChars="-244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  <w:highlight w:val="none"/>
          <w:rtl w:val="0"/>
        </w:rPr>
        <w:t>二、</w:t>
      </w:r>
      <w:r>
        <w:rPr>
          <w:rFonts w:hint="eastAsia" w:ascii="仿宋_GB2312" w:hAnsi="宋体" w:cs="Times New Roman"/>
          <w:bCs/>
          <w:sz w:val="32"/>
          <w:szCs w:val="32"/>
          <w:highlight w:val="none"/>
          <w:rtl w:val="0"/>
          <w:lang w:eastAsia="zh-CN"/>
        </w:rPr>
        <w:t>机构设置情况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after="240" w:line="360" w:lineRule="auto"/>
        <w:ind w:firstLine="640"/>
        <w:jc w:val="both"/>
        <w:textAlignment w:val="auto"/>
        <w:outlineLvl w:val="9"/>
      </w:pPr>
      <w:r>
        <w:rPr>
          <w:rStyle w:val="6"/>
          <w:rFonts w:ascii="黑体" w:hAnsi="黑体" w:eastAsia="黑体" w:cs="黑体"/>
          <w:sz w:val="32"/>
          <w:szCs w:val="32"/>
          <w:rtl w:val="0"/>
        </w:rPr>
        <w:t>第</w:t>
      </w:r>
      <w:r>
        <w:rPr>
          <w:rStyle w:val="6"/>
          <w:rFonts w:hint="eastAsia" w:ascii="黑体" w:hAnsi="黑体" w:eastAsia="黑体" w:cs="黑体"/>
          <w:sz w:val="32"/>
          <w:szCs w:val="32"/>
          <w:rtl w:val="0"/>
          <w:lang w:eastAsia="zh-CN"/>
        </w:rPr>
        <w:t>二</w:t>
      </w:r>
      <w:r>
        <w:rPr>
          <w:rStyle w:val="6"/>
          <w:rFonts w:ascii="黑体" w:hAnsi="黑体" w:eastAsia="黑体" w:cs="黑体"/>
          <w:sz w:val="32"/>
          <w:szCs w:val="32"/>
          <w:rtl w:val="0"/>
        </w:rPr>
        <w:t>部分</w:t>
      </w:r>
      <w:r>
        <w:rPr>
          <w:rStyle w:val="6"/>
          <w:rFonts w:hint="eastAsia" w:ascii="黑体" w:hAnsi="黑体" w:eastAsia="黑体" w:cs="黑体"/>
          <w:sz w:val="32"/>
          <w:szCs w:val="32"/>
          <w:u w:val="none"/>
          <w:rtl w:val="0"/>
          <w:lang w:val="en-US" w:eastAsia="zh-CN"/>
        </w:rPr>
        <w:t xml:space="preserve"> 部门2025</w:t>
      </w:r>
      <w:r>
        <w:rPr>
          <w:rStyle w:val="6"/>
          <w:rFonts w:ascii="黑体" w:hAnsi="黑体" w:eastAsia="黑体" w:cs="黑体"/>
          <w:sz w:val="32"/>
          <w:szCs w:val="32"/>
          <w:rtl w:val="0"/>
        </w:rPr>
        <w:t>年度部门</w:t>
      </w:r>
      <w:r>
        <w:rPr>
          <w:rStyle w:val="6"/>
          <w:rFonts w:hint="eastAsia" w:ascii="黑体" w:hAnsi="黑体" w:eastAsia="黑体" w:cs="黑体"/>
          <w:sz w:val="32"/>
          <w:szCs w:val="32"/>
          <w:rtl w:val="0"/>
          <w:lang w:eastAsia="zh-CN"/>
        </w:rPr>
        <w:t>预算</w:t>
      </w:r>
      <w:r>
        <w:rPr>
          <w:rStyle w:val="6"/>
          <w:rFonts w:ascii="黑体" w:hAnsi="黑体" w:eastAsia="黑体" w:cs="黑体"/>
          <w:sz w:val="32"/>
          <w:szCs w:val="32"/>
          <w:rtl w:val="0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一、</w:t>
      </w:r>
      <w:r>
        <w:rPr>
          <w:rFonts w:hint="eastAsia" w:cs="Times New Roman"/>
          <w:lang w:val="en-US" w:eastAsia="zh-CN"/>
        </w:rPr>
        <w:t>2025年部门预算收支情况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二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eastAsia" w:cs="Times New Roman"/>
          <w:lang w:val="en-US" w:eastAsia="zh-CN"/>
        </w:rPr>
        <w:t>2025年</w:t>
      </w:r>
      <w:r>
        <w:rPr>
          <w:rFonts w:hint="eastAsia" w:ascii="Times New Roman" w:hAnsi="Times New Roman" w:cs="Times New Roman"/>
          <w:lang w:val="en-US" w:eastAsia="zh-CN"/>
        </w:rPr>
        <w:t>财政拨款</w:t>
      </w:r>
      <w:r>
        <w:rPr>
          <w:rFonts w:hint="eastAsia" w:cs="Times New Roman"/>
          <w:lang w:val="en-US" w:eastAsia="zh-CN"/>
        </w:rPr>
        <w:t>收支情况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三、2025年一般公共预算财政拨款预算支出情况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四、2025年一般公共预算财政拨款预算基本支出情况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五、2025年政府性基金预算支出情况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六、2025年国有资本经营预算财政拨款预算收支情况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七、2025年财政拨款“三公”经费预算情况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八、其他重要事项情况说明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after="240" w:line="360" w:lineRule="auto"/>
        <w:ind w:firstLine="640"/>
        <w:jc w:val="both"/>
        <w:textAlignment w:val="auto"/>
        <w:outlineLvl w:val="9"/>
      </w:pPr>
      <w:r>
        <w:rPr>
          <w:rStyle w:val="6"/>
          <w:rFonts w:ascii="黑体" w:hAnsi="黑体" w:eastAsia="黑体" w:cs="黑体"/>
          <w:sz w:val="32"/>
          <w:szCs w:val="32"/>
          <w:rtl w:val="0"/>
        </w:rPr>
        <w:t>第</w:t>
      </w:r>
      <w:r>
        <w:rPr>
          <w:rStyle w:val="6"/>
          <w:rFonts w:hint="eastAsia" w:ascii="黑体" w:hAnsi="黑体" w:eastAsia="黑体" w:cs="黑体"/>
          <w:sz w:val="32"/>
          <w:szCs w:val="32"/>
          <w:rtl w:val="0"/>
          <w:lang w:eastAsia="zh-CN"/>
        </w:rPr>
        <w:t>三</w:t>
      </w:r>
      <w:r>
        <w:rPr>
          <w:rStyle w:val="6"/>
          <w:rFonts w:ascii="黑体" w:hAnsi="黑体" w:eastAsia="黑体" w:cs="黑体"/>
          <w:sz w:val="32"/>
          <w:szCs w:val="32"/>
          <w:rtl w:val="0"/>
        </w:rPr>
        <w:t>部分</w:t>
      </w:r>
      <w:r>
        <w:rPr>
          <w:rStyle w:val="6"/>
          <w:rFonts w:ascii="黑体" w:hAnsi="黑体" w:eastAsia="黑体" w:cs="黑体"/>
          <w:sz w:val="32"/>
          <w:szCs w:val="32"/>
          <w:u w:val="none"/>
          <w:rtl w:val="0"/>
          <w:lang w:val="en-US" w:eastAsia="en-US"/>
        </w:rPr>
        <w:t xml:space="preserve"> </w:t>
      </w:r>
      <w:r>
        <w:rPr>
          <w:rStyle w:val="6"/>
          <w:rFonts w:hint="eastAsia" w:ascii="黑体" w:hAnsi="黑体" w:eastAsia="黑体" w:cs="黑体"/>
          <w:sz w:val="32"/>
          <w:szCs w:val="32"/>
          <w:u w:val="none"/>
          <w:rtl w:val="0"/>
          <w:lang w:val="en-US" w:eastAsia="zh-CN"/>
        </w:rPr>
        <w:t>部门2025</w:t>
      </w:r>
      <w:r>
        <w:rPr>
          <w:rStyle w:val="6"/>
          <w:rFonts w:ascii="黑体" w:hAnsi="黑体" w:eastAsia="黑体" w:cs="黑体"/>
          <w:sz w:val="32"/>
          <w:szCs w:val="32"/>
          <w:u w:val="none"/>
          <w:rtl w:val="0"/>
        </w:rPr>
        <w:t>年</w:t>
      </w:r>
      <w:r>
        <w:rPr>
          <w:rStyle w:val="6"/>
          <w:rFonts w:ascii="黑体" w:hAnsi="黑体" w:eastAsia="黑体" w:cs="黑体"/>
          <w:sz w:val="32"/>
          <w:szCs w:val="32"/>
          <w:rtl w:val="0"/>
        </w:rPr>
        <w:t>度部门</w:t>
      </w:r>
      <w:r>
        <w:rPr>
          <w:rStyle w:val="6"/>
          <w:rFonts w:hint="eastAsia" w:ascii="黑体" w:hAnsi="黑体" w:eastAsia="黑体" w:cs="黑体"/>
          <w:sz w:val="32"/>
          <w:szCs w:val="32"/>
          <w:rtl w:val="0"/>
          <w:lang w:eastAsia="zh-CN"/>
        </w:rPr>
        <w:t>预算</w:t>
      </w:r>
      <w:r>
        <w:rPr>
          <w:rStyle w:val="6"/>
          <w:rFonts w:ascii="黑体" w:hAnsi="黑体" w:eastAsia="黑体" w:cs="黑体"/>
          <w:sz w:val="32"/>
          <w:szCs w:val="32"/>
          <w:rtl w:val="0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一、收入支出</w:t>
      </w:r>
      <w:r>
        <w:rPr>
          <w:rFonts w:hint="eastAsia" w:cs="Times New Roman"/>
          <w:lang w:val="en-US" w:eastAsia="zh-CN"/>
        </w:rPr>
        <w:t>预算</w:t>
      </w:r>
      <w:r>
        <w:rPr>
          <w:rFonts w:hint="eastAsia" w:ascii="Times New Roman" w:hAnsi="Times New Roman" w:cs="Times New Roman"/>
          <w:lang w:val="en-US" w:eastAsia="zh-CN"/>
        </w:rPr>
        <w:t>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二、收入</w:t>
      </w:r>
      <w:r>
        <w:rPr>
          <w:rFonts w:hint="eastAsia" w:cs="Times New Roman"/>
          <w:lang w:val="en-US" w:eastAsia="zh-CN"/>
        </w:rPr>
        <w:t>预算</w:t>
      </w:r>
      <w:r>
        <w:rPr>
          <w:rFonts w:hint="eastAsia" w:ascii="Times New Roman" w:hAnsi="Times New Roman" w:cs="Times New Roman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三、支出</w:t>
      </w:r>
      <w:r>
        <w:rPr>
          <w:rFonts w:hint="eastAsia" w:cs="Times New Roman"/>
          <w:lang w:val="en-US" w:eastAsia="zh-CN"/>
        </w:rPr>
        <w:t>预算</w:t>
      </w:r>
      <w:r>
        <w:rPr>
          <w:rFonts w:hint="eastAsia" w:ascii="Times New Roman" w:hAnsi="Times New Roman" w:cs="Times New Roman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四、财政拨款收入支出</w:t>
      </w:r>
      <w:r>
        <w:rPr>
          <w:rFonts w:hint="eastAsia" w:cs="Times New Roman"/>
          <w:lang w:val="en-US" w:eastAsia="zh-CN"/>
        </w:rPr>
        <w:t>预算</w:t>
      </w:r>
      <w:r>
        <w:rPr>
          <w:rFonts w:hint="eastAsia" w:ascii="Times New Roman" w:hAnsi="Times New Roman" w:cs="Times New Roman"/>
          <w:lang w:val="en-US" w:eastAsia="zh-CN"/>
        </w:rPr>
        <w:t>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五、一般公共预算财政拨款支出</w:t>
      </w:r>
      <w:r>
        <w:rPr>
          <w:rFonts w:hint="eastAsia" w:cs="Times New Roman"/>
          <w:lang w:val="en-US" w:eastAsia="zh-CN"/>
        </w:rPr>
        <w:t>预算</w:t>
      </w:r>
      <w:r>
        <w:rPr>
          <w:rFonts w:hint="eastAsia" w:ascii="Times New Roman" w:hAnsi="Times New Roman" w:cs="Times New Roman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六、一般公共预算财政拨款基本支出</w:t>
      </w:r>
      <w:r>
        <w:rPr>
          <w:rFonts w:hint="eastAsia" w:cs="Times New Roman"/>
          <w:lang w:val="en-US" w:eastAsia="zh-CN"/>
        </w:rPr>
        <w:t>预算</w:t>
      </w:r>
      <w:r>
        <w:rPr>
          <w:rFonts w:hint="eastAsia" w:ascii="Times New Roman" w:hAnsi="Times New Roman" w:cs="Times New Roman"/>
          <w:lang w:val="en-US" w:eastAsia="zh-CN"/>
        </w:rPr>
        <w:t>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七</w:t>
      </w:r>
      <w:r>
        <w:rPr>
          <w:rFonts w:hint="eastAsia" w:ascii="Times New Roman" w:hAnsi="Times New Roman" w:cs="Times New Roman"/>
          <w:lang w:val="en-US" w:eastAsia="zh-CN"/>
        </w:rPr>
        <w:t>、政府性基金预算财政拨款收入支出</w:t>
      </w:r>
      <w:r>
        <w:rPr>
          <w:rFonts w:hint="eastAsia" w:cs="Times New Roman"/>
          <w:lang w:val="en-US" w:eastAsia="zh-CN"/>
        </w:rPr>
        <w:t>预算</w:t>
      </w:r>
      <w:r>
        <w:rPr>
          <w:rFonts w:hint="eastAsia" w:ascii="Times New Roman" w:hAnsi="Times New Roman" w:cs="Times New Roman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八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eastAsia" w:cs="Times New Roman"/>
          <w:lang w:val="en-US" w:eastAsia="zh-CN"/>
        </w:rPr>
        <w:t>一般公共预算“三公”经费支出表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九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eastAsia" w:cs="Times New Roman"/>
          <w:lang w:val="en-US" w:eastAsia="zh-CN"/>
        </w:rPr>
        <w:t>项目支出表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40" w:after="240" w:line="360" w:lineRule="auto"/>
        <w:ind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第四部分 </w:t>
      </w:r>
      <w:r>
        <w:rPr>
          <w:rStyle w:val="6"/>
          <w:rFonts w:ascii="黑体" w:hAnsi="黑体" w:eastAsia="黑体" w:cs="黑体"/>
          <w:sz w:val="32"/>
          <w:szCs w:val="32"/>
          <w:rtl w:val="0"/>
        </w:rPr>
        <w:t>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9"/>
        <w:rPr>
          <w:rStyle w:val="6"/>
          <w:rFonts w:hint="default" w:ascii="黑体" w:hAnsi="黑体" w:eastAsia="黑体" w:cs="黑体"/>
          <w:sz w:val="32"/>
          <w:szCs w:val="32"/>
          <w:rtl w:val="0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rtl w:val="0"/>
          <w:lang w:val="en-US" w:eastAsia="zh-CN"/>
        </w:rPr>
        <w:t xml:space="preserve">    第五部分 附件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ind w:left="0" w:leftChars="-200" w:hanging="640" w:hangingChars="20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第一部分  襄阳市工会干部学校概况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一、部门主要职责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iCs/>
          <w:sz w:val="32"/>
          <w:szCs w:val="32"/>
        </w:rPr>
        <w:t>襄阳市工会干部学校是隶属襄阳市总工会的公益二类事业单位。</w:t>
      </w:r>
      <w:r>
        <w:rPr>
          <w:rFonts w:hint="eastAsia" w:ascii="仿宋_GB2312" w:hAnsi="新宋体" w:eastAsia="仿宋_GB2312"/>
          <w:sz w:val="32"/>
          <w:szCs w:val="32"/>
        </w:rPr>
        <w:t>主要开展</w:t>
      </w:r>
      <w:r>
        <w:rPr>
          <w:rFonts w:hint="eastAsia" w:ascii="仿宋_GB2312" w:hAnsi="新宋体"/>
          <w:sz w:val="32"/>
          <w:szCs w:val="32"/>
          <w:lang w:val="en-US" w:eastAsia="zh-CN"/>
        </w:rPr>
        <w:t>干部培训、</w:t>
      </w:r>
      <w:r>
        <w:rPr>
          <w:rFonts w:hint="eastAsia" w:ascii="仿宋_GB2312" w:hAnsi="新宋体" w:eastAsia="仿宋_GB2312"/>
          <w:sz w:val="32"/>
          <w:szCs w:val="32"/>
        </w:rPr>
        <w:t>职业技能培训和成人学历教育工作。</w:t>
      </w:r>
      <w:r>
        <w:rPr>
          <w:rFonts w:hint="eastAsia" w:ascii="仿宋_GB2312" w:hAnsi="Calibri" w:eastAsia="仿宋_GB2312"/>
          <w:sz w:val="32"/>
          <w:szCs w:val="32"/>
        </w:rPr>
        <w:t>学校先后被授予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全国职工教育培训示范点、全省工会（就业）创业培训示范基地、湖北省产业工人培训示范基地、湖北省“家政服务工程”定点培训机构、湖北省家庭服务业培训示范基地、湖北荆楚工匠学院、襄阳基层干部学院教学培训基地。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二、机构设置情况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襄阳市总工会2025年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度部门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编制范围的二级预算单位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---</w:t>
      </w:r>
      <w:r>
        <w:rPr>
          <w:rFonts w:hint="eastAsia" w:ascii="仿宋" w:hAnsi="仿宋" w:eastAsia="仿宋"/>
          <w:iCs/>
          <w:sz w:val="32"/>
          <w:szCs w:val="32"/>
        </w:rPr>
        <w:t>襄阳市工会干部学校。</w:t>
      </w:r>
    </w:p>
    <w:p>
      <w:p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2025年度部门预算情况说明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一、2025年部门预算收支情况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度收、支总计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均为</w:t>
      </w:r>
      <w:r>
        <w:rPr>
          <w:rFonts w:hint="eastAsia" w:ascii="仿宋_GB2312" w:hAnsi="宋体"/>
          <w:bCs/>
          <w:sz w:val="32"/>
          <w:szCs w:val="32"/>
          <w:highlight w:val="none"/>
          <w:u w:val="none"/>
          <w:lang w:val="en-US" w:eastAsia="zh-CN"/>
        </w:rPr>
        <w:t>300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万元。与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度相比，收、支总计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持平。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仿宋_GB2312" w:hAnsi="宋体"/>
          <w:bCs/>
          <w:szCs w:val="32"/>
          <w:highlight w:val="none"/>
          <w:lang w:val="en-US" w:eastAsia="zh-CN"/>
        </w:rPr>
        <w:t xml:space="preserve">    2025年度收入合计</w:t>
      </w:r>
      <w:r>
        <w:rPr>
          <w:rFonts w:hint="eastAsia" w:ascii="仿宋_GB2312" w:hAnsi="宋体"/>
          <w:bCs/>
          <w:szCs w:val="32"/>
          <w:highlight w:val="none"/>
          <w:u w:val="none"/>
          <w:lang w:val="en-US" w:eastAsia="zh-CN"/>
        </w:rPr>
        <w:t>300</w:t>
      </w:r>
      <w:r>
        <w:rPr>
          <w:rFonts w:hint="eastAsia" w:ascii="仿宋_GB2312" w:hAnsi="宋体"/>
          <w:bCs/>
          <w:szCs w:val="32"/>
          <w:highlight w:val="none"/>
          <w:lang w:val="en-US" w:eastAsia="zh-CN"/>
        </w:rPr>
        <w:t>万元，与2024年度相比，收入合计持平。其中：一般公共预算拨款收入（其他纳入预算管理的非税拨款）300万元，占本年收入100%</w:t>
      </w:r>
      <w:r>
        <w:rPr>
          <w:rFonts w:hint="eastAsia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仿宋_GB2312" w:hAnsi="宋体"/>
          <w:bCs/>
          <w:szCs w:val="32"/>
          <w:highlight w:val="none"/>
          <w:lang w:val="en-US" w:eastAsia="zh-CN"/>
        </w:rPr>
        <w:t>2025年度支出合计300万元，与2024年度相比，支出合计持平。其中：一般公共服务支出</w:t>
      </w:r>
      <w:r>
        <w:rPr>
          <w:rFonts w:hint="eastAsia" w:ascii="仿宋_GB2312" w:eastAsia="仿宋_GB2312"/>
          <w:bCs/>
          <w:kern w:val="44"/>
          <w:szCs w:val="32"/>
          <w:highlight w:val="none"/>
          <w:u w:val="none"/>
        </w:rPr>
        <w:t xml:space="preserve"> </w:t>
      </w:r>
      <w:r>
        <w:rPr>
          <w:rFonts w:hint="eastAsia" w:ascii="仿宋_GB2312"/>
          <w:bCs/>
          <w:kern w:val="44"/>
          <w:szCs w:val="32"/>
          <w:highlight w:val="none"/>
          <w:u w:val="none"/>
          <w:lang w:val="en-US" w:eastAsia="zh-CN"/>
        </w:rPr>
        <w:t>300</w:t>
      </w:r>
      <w:r>
        <w:rPr>
          <w:rFonts w:hint="eastAsia" w:ascii="仿宋_GB2312" w:eastAsia="仿宋_GB2312"/>
          <w:bCs/>
          <w:kern w:val="44"/>
          <w:szCs w:val="32"/>
          <w:highlight w:val="none"/>
        </w:rPr>
        <w:t>万元，占本年支出</w:t>
      </w:r>
      <w:r>
        <w:rPr>
          <w:rFonts w:hint="eastAsia" w:ascii="仿宋_GB2312"/>
          <w:bCs/>
          <w:kern w:val="44"/>
          <w:szCs w:val="32"/>
          <w:highlight w:val="none"/>
          <w:u w:val="none"/>
          <w:lang w:val="en-US" w:eastAsia="zh-CN"/>
        </w:rPr>
        <w:t>100</w:t>
      </w:r>
      <w:r>
        <w:rPr>
          <w:rFonts w:hint="eastAsia" w:ascii="仿宋_GB2312" w:eastAsia="仿宋_GB2312"/>
          <w:bCs/>
          <w:kern w:val="44"/>
          <w:szCs w:val="32"/>
          <w:highlight w:val="none"/>
          <w:u w:val="none"/>
        </w:rPr>
        <w:t xml:space="preserve"> </w:t>
      </w:r>
      <w:r>
        <w:rPr>
          <w:rFonts w:hint="eastAsia" w:ascii="仿宋_GB2312" w:eastAsia="仿宋_GB2312"/>
          <w:bCs/>
          <w:kern w:val="44"/>
          <w:szCs w:val="32"/>
          <w:highlight w:val="none"/>
        </w:rPr>
        <w:t>%。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二、2025年财政拨款收支情况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2025年度</w:t>
      </w:r>
      <w:r>
        <w:rPr>
          <w:rFonts w:hint="eastAsia" w:ascii="仿宋_GB2312" w:hAnsi="宋体"/>
          <w:bCs/>
          <w:szCs w:val="32"/>
          <w:highlight w:val="none"/>
          <w:lang w:val="en-US" w:eastAsia="zh-CN"/>
        </w:rPr>
        <w:t>一般公共预算拨款（其他纳入预算管理的非税拨款）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 xml:space="preserve">收、支总计均为 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万元。与202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年度相比，收、支总计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持平。</w:t>
      </w:r>
    </w:p>
    <w:p>
      <w:pPr>
        <w:adjustRightInd w:val="0"/>
        <w:snapToGrid w:val="0"/>
        <w:spacing w:line="580" w:lineRule="atLeast"/>
        <w:ind w:firstLine="640" w:firstLineChars="200"/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2025年度一般公共预算财政拨款收入（其他纳入预算管理的非税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拨款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万元，比202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年度预算数</w:t>
      </w:r>
      <w:r>
        <w:rPr>
          <w:rFonts w:hint="eastAsia" w:ascii="仿宋_GB2312" w:hAnsi="宋体"/>
          <w:bCs/>
          <w:sz w:val="32"/>
          <w:szCs w:val="32"/>
          <w:highlight w:val="none"/>
          <w:lang w:val="en-US" w:eastAsia="zh-CN"/>
        </w:rPr>
        <w:t>持平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三、2025年一般公共预算支出情况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  <w:lang w:eastAsia="zh-CN"/>
        </w:rPr>
        <w:t>一般公共预算</w:t>
      </w:r>
      <w:r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</w:rPr>
        <w:t>支出总体情况。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bCs/>
          <w:kern w:val="44"/>
          <w:sz w:val="32"/>
          <w:szCs w:val="32"/>
          <w:highlight w:val="none"/>
          <w:lang w:eastAsia="zh-CN"/>
        </w:rPr>
      </w:pPr>
      <w:r>
        <w:rPr>
          <w:rFonts w:hint="eastAsia" w:ascii="仿宋_GB2312"/>
          <w:bCs/>
          <w:kern w:val="44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highlight w:val="none"/>
        </w:rPr>
        <w:t>度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highlight w:val="none"/>
          <w:lang w:eastAsia="zh-CN"/>
        </w:rPr>
        <w:t>一般公共预算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（</w:t>
      </w:r>
      <w:r>
        <w:rPr>
          <w:rFonts w:hint="eastAsia" w:ascii="仿宋_GB2312"/>
          <w:bCs/>
          <w:kern w:val="44"/>
          <w:sz w:val="32"/>
          <w:szCs w:val="32"/>
          <w:highlight w:val="none"/>
          <w:lang w:val="en-US" w:eastAsia="zh-CN"/>
        </w:rPr>
        <w:t>一般公共服务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）支出</w:t>
      </w:r>
      <w:r>
        <w:rPr>
          <w:rFonts w:hint="eastAsia" w:ascii="仿宋_GB2312"/>
          <w:bCs/>
          <w:kern w:val="44"/>
          <w:sz w:val="32"/>
          <w:szCs w:val="32"/>
          <w:highlight w:val="none"/>
          <w:u w:val="none"/>
          <w:lang w:val="en-US" w:eastAsia="zh-CN"/>
        </w:rPr>
        <w:t>300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万元，占本年支出合计的</w:t>
      </w:r>
      <w:r>
        <w:rPr>
          <w:rFonts w:hint="eastAsia" w:ascii="仿宋_GB2312"/>
          <w:bCs/>
          <w:kern w:val="44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  <w:u w:val="none"/>
        </w:rPr>
        <w:t xml:space="preserve"> %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。与</w:t>
      </w:r>
      <w:r>
        <w:rPr>
          <w:rFonts w:hint="eastAsia" w:ascii="仿宋_GB2312"/>
          <w:bCs/>
          <w:kern w:val="44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/>
          <w:bCs/>
          <w:kern w:val="4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/>
          <w:bCs/>
          <w:kern w:val="44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  <w:lang w:eastAsia="zh-CN"/>
        </w:rPr>
        <w:t>度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相比，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highlight w:val="none"/>
          <w:lang w:eastAsia="zh-CN"/>
        </w:rPr>
        <w:t>一般公共预算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（</w:t>
      </w:r>
      <w:r>
        <w:rPr>
          <w:rFonts w:hint="eastAsia" w:ascii="仿宋_GB2312"/>
          <w:bCs/>
          <w:kern w:val="44"/>
          <w:sz w:val="32"/>
          <w:szCs w:val="32"/>
          <w:highlight w:val="none"/>
          <w:lang w:val="en-US" w:eastAsia="zh-CN"/>
        </w:rPr>
        <w:t>一般公共服务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）支出</w:t>
      </w:r>
      <w:r>
        <w:rPr>
          <w:rFonts w:hint="eastAsia" w:ascii="仿宋_GB2312"/>
          <w:bCs/>
          <w:kern w:val="44"/>
          <w:sz w:val="32"/>
          <w:szCs w:val="32"/>
          <w:highlight w:val="none"/>
          <w:lang w:eastAsia="zh-CN"/>
        </w:rPr>
        <w:t>持平。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  <w:lang w:eastAsia="zh-CN"/>
        </w:rPr>
        <w:t>（二）一般公共预算</w:t>
      </w:r>
      <w:r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</w:rPr>
        <w:t>支出结构情况。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</w:pPr>
      <w:r>
        <w:rPr>
          <w:rFonts w:hint="eastAsia" w:ascii="仿宋_GB2312"/>
          <w:bCs/>
          <w:kern w:val="44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度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highlight w:val="none"/>
          <w:lang w:eastAsia="zh-CN"/>
        </w:rPr>
        <w:t>一般公共预算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（</w:t>
      </w:r>
      <w:r>
        <w:rPr>
          <w:rFonts w:hint="eastAsia" w:ascii="仿宋_GB2312"/>
          <w:bCs/>
          <w:kern w:val="44"/>
          <w:sz w:val="32"/>
          <w:szCs w:val="32"/>
          <w:highlight w:val="none"/>
          <w:lang w:val="en-US" w:eastAsia="zh-CN"/>
        </w:rPr>
        <w:t>一般公共服务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）支出</w:t>
      </w:r>
      <w:r>
        <w:rPr>
          <w:rFonts w:hint="eastAsia" w:ascii="仿宋_GB2312"/>
          <w:bCs/>
          <w:kern w:val="44"/>
          <w:sz w:val="32"/>
          <w:szCs w:val="32"/>
          <w:highlight w:val="none"/>
          <w:u w:val="none"/>
          <w:lang w:val="en-US" w:eastAsia="zh-CN"/>
        </w:rPr>
        <w:t>300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万元，主要用于以下方面：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bCs/>
          <w:kern w:val="44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bCs/>
          <w:kern w:val="44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一般公共服务（类）支出</w:t>
      </w:r>
      <w:r>
        <w:rPr>
          <w:rFonts w:hint="eastAsia" w:ascii="仿宋_GB2312"/>
          <w:bCs/>
          <w:kern w:val="44"/>
          <w:sz w:val="32"/>
          <w:szCs w:val="32"/>
          <w:highlight w:val="none"/>
          <w:u w:val="none"/>
          <w:lang w:val="en-US" w:eastAsia="zh-CN"/>
        </w:rPr>
        <w:t>300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eastAsia="仿宋_GB2312"/>
          <w:bCs/>
          <w:kern w:val="44"/>
          <w:sz w:val="32"/>
          <w:szCs w:val="32"/>
          <w:highlight w:val="none"/>
        </w:rPr>
        <w:t>万元，占</w:t>
      </w:r>
      <w:r>
        <w:rPr>
          <w:rFonts w:hint="eastAsia" w:ascii="仿宋_GB2312"/>
          <w:bCs/>
          <w:kern w:val="44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ascii="仿宋_GB2312" w:eastAsia="仿宋_GB2312"/>
          <w:bCs/>
          <w:kern w:val="44"/>
          <w:sz w:val="32"/>
          <w:szCs w:val="32"/>
          <w:highlight w:val="none"/>
        </w:rPr>
        <w:t>%</w:t>
      </w:r>
      <w:r>
        <w:rPr>
          <w:rFonts w:hint="eastAsia" w:ascii="仿宋_GB2312"/>
          <w:bCs/>
          <w:kern w:val="44"/>
          <w:sz w:val="32"/>
          <w:szCs w:val="32"/>
          <w:highlight w:val="none"/>
          <w:lang w:eastAsia="zh-CN"/>
        </w:rPr>
        <w:t>。主要是用于</w:t>
      </w:r>
      <w:r>
        <w:rPr>
          <w:rFonts w:hint="eastAsia" w:ascii="仿宋_GB2312" w:hAnsi="仿宋_GB2312" w:eastAsia="仿宋_GB2312" w:cs="仿宋_GB2312"/>
          <w:lang w:val="en-US" w:eastAsia="zh-CN"/>
        </w:rPr>
        <w:t>职工基本医疗保险缴费</w:t>
      </w:r>
      <w:r>
        <w:rPr>
          <w:rFonts w:hint="eastAsia" w:ascii="仿宋_GB2312" w:hAnsi="仿宋_GB2312" w:cs="仿宋_GB231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>其他社会保障缴费、其他工资福利支出</w:t>
      </w:r>
      <w:r>
        <w:rPr>
          <w:rFonts w:hint="eastAsia" w:ascii="仿宋_GB2312" w:hAnsi="仿宋_GB2312" w:cs="仿宋_GB2312"/>
          <w:lang w:val="en-US" w:eastAsia="zh-CN"/>
        </w:rPr>
        <w:t>等</w:t>
      </w:r>
      <w:r>
        <w:rPr>
          <w:rFonts w:hint="eastAsia" w:ascii="仿宋_GB2312"/>
          <w:bCs/>
          <w:kern w:val="44"/>
          <w:sz w:val="32"/>
          <w:szCs w:val="32"/>
          <w:highlight w:val="none"/>
          <w:lang w:eastAsia="zh-CN"/>
        </w:rPr>
        <w:t>。</w:t>
      </w:r>
    </w:p>
    <w:p>
      <w:pPr>
        <w:bidi w:val="0"/>
        <w:ind w:left="640" w:leftChars="20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四、2025年一般公共预算基本支出情况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lang w:val="en-US" w:eastAsia="zh-CN"/>
        </w:rPr>
        <w:t>年度一般公共预算</w:t>
      </w:r>
      <w:r>
        <w:rPr>
          <w:rFonts w:hint="eastAsia" w:ascii="仿宋_GB2312" w:hAnsi="仿宋_GB2312" w:cs="仿宋_GB231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lang w:val="en-US" w:eastAsia="zh-CN"/>
        </w:rPr>
        <w:t>支出</w:t>
      </w:r>
      <w:r>
        <w:rPr>
          <w:rFonts w:hint="eastAsia" w:ascii="仿宋_GB2312" w:hAnsi="仿宋_GB2312" w:cs="仿宋_GB2312"/>
          <w:u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lang w:val="en-US" w:eastAsia="zh-CN"/>
        </w:rPr>
        <w:t>万元，其中：人员经费</w:t>
      </w:r>
      <w:r>
        <w:rPr>
          <w:rFonts w:hint="eastAsia" w:ascii="仿宋_GB2312" w:hAnsi="仿宋_GB2312" w:cs="仿宋_GB2312"/>
          <w:u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lang w:val="en-US" w:eastAsia="zh-CN"/>
        </w:rPr>
        <w:t>万元，主要包括：基本工资、津贴补贴、奖金、伙食补助费、绩效工资、机关事业单位基本养老保险缴费、职业年金缴费、职工基本医疗保险缴费、其他社会保障缴费、住房公积金、医疗费、其他工资福利支出、退休费、抚恤金、生活补助、救济费、医疗费补助、代缴社会保险费、其他对个人和家庭的补助</w:t>
      </w:r>
      <w:r>
        <w:rPr>
          <w:rFonts w:hint="eastAsia" w:ascii="仿宋_GB2312" w:hAnsi="仿宋_GB2312" w:cs="仿宋_GB231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五、2025年政府性基金预算支出情况</w:t>
      </w:r>
    </w:p>
    <w:p>
      <w:pPr>
        <w:ind w:firstLine="640"/>
        <w:jc w:val="both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本部门当年无政府性基金预算财政拨款收入支出。</w:t>
      </w:r>
    </w:p>
    <w:p>
      <w:pPr>
        <w:ind w:left="640" w:leftChars="20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六、2025年国有资本经营预算财政拨款预算收支情况</w:t>
      </w:r>
    </w:p>
    <w:p>
      <w:pPr>
        <w:ind w:firstLine="640"/>
        <w:jc w:val="both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本部门当年无国有资本经营预算财政</w:t>
      </w:r>
      <w:bookmarkStart w:id="0" w:name="_GoBack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拨款</w:t>
      </w:r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支出。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七、2025年财政拨款“三公”经费预算情况</w:t>
      </w: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仿宋" w:hAnsi="仿宋" w:eastAsia="仿宋"/>
          <w:iCs/>
          <w:sz w:val="32"/>
          <w:szCs w:val="32"/>
        </w:rPr>
        <w:t>202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iCs/>
          <w:sz w:val="32"/>
          <w:szCs w:val="32"/>
        </w:rPr>
        <w:t>年</w:t>
      </w:r>
      <w:r>
        <w:rPr>
          <w:rFonts w:hint="eastAsia" w:ascii="仿宋" w:hAnsi="仿宋" w:eastAsia="仿宋"/>
          <w:iCs/>
          <w:sz w:val="32"/>
          <w:szCs w:val="32"/>
          <w:lang w:eastAsia="zh-CN"/>
        </w:rPr>
        <w:t>非税收入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-国有资产有偿使用（学费）</w:t>
      </w:r>
      <w:r>
        <w:rPr>
          <w:rFonts w:hint="eastAsia" w:ascii="仿宋" w:hAnsi="仿宋" w:eastAsia="仿宋"/>
          <w:iCs/>
          <w:sz w:val="32"/>
          <w:szCs w:val="32"/>
        </w:rPr>
        <w:t>未列202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iCs/>
          <w:sz w:val="32"/>
          <w:szCs w:val="32"/>
        </w:rPr>
        <w:t>年“三公”经费预算。</w:t>
      </w:r>
    </w:p>
    <w:p>
      <w:pPr>
        <w:pStyle w:val="8"/>
        <w:numPr>
          <w:ilvl w:val="0"/>
          <w:numId w:val="1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其他重要事项情况说明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  <w:lang w:val="en-US" w:eastAsia="zh-CN" w:bidi="ar-SA"/>
        </w:rPr>
        <w:t>（一）运行经费支出说明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本部门 </w:t>
      </w:r>
      <w:r>
        <w:rPr>
          <w:rFonts w:hint="eastAsia" w:ascii="仿宋_GB2312" w:eastAsia="仿宋_GB2312"/>
          <w:szCs w:val="32"/>
          <w:lang w:eastAsia="zh-CN"/>
        </w:rPr>
        <w:t>2025</w:t>
      </w:r>
      <w:r>
        <w:rPr>
          <w:rFonts w:hint="eastAsia" w:ascii="仿宋_GB2312" w:eastAsia="仿宋_GB2312"/>
          <w:szCs w:val="32"/>
        </w:rPr>
        <w:t>年度运行经费支出</w:t>
      </w:r>
      <w:r>
        <w:rPr>
          <w:rFonts w:hint="eastAsia" w:ascii="仿宋_GB2312" w:eastAsia="仿宋_GB2312"/>
          <w:szCs w:val="32"/>
          <w:lang w:val="en-US" w:eastAsia="zh-CN"/>
        </w:rPr>
        <w:t>300</w:t>
      </w:r>
      <w:r>
        <w:rPr>
          <w:rFonts w:hint="eastAsia" w:ascii="仿宋_GB2312" w:eastAsia="仿宋_GB2312"/>
          <w:szCs w:val="32"/>
        </w:rPr>
        <w:t>万元，</w:t>
      </w:r>
      <w:r>
        <w:rPr>
          <w:rFonts w:hint="eastAsia" w:ascii="仿宋_GB2312" w:eastAsia="仿宋_GB2312"/>
          <w:szCs w:val="32"/>
          <w:lang w:eastAsia="zh-CN"/>
        </w:rPr>
        <w:t>与</w:t>
      </w:r>
      <w:r>
        <w:rPr>
          <w:rFonts w:hint="eastAsia" w:ascii="仿宋_GB2312" w:eastAsia="仿宋_GB231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Cs w:val="32"/>
          <w:lang w:eastAsia="zh-CN"/>
        </w:rPr>
        <w:t>预算数持平</w:t>
      </w:r>
      <w:r>
        <w:rPr>
          <w:rFonts w:hint="eastAsia" w:ascii="仿宋_GB2312" w:eastAsia="仿宋_GB2312"/>
          <w:szCs w:val="32"/>
        </w:rPr>
        <w:t>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  <w:lang w:val="en-US" w:eastAsia="zh-CN" w:bidi="ar-SA"/>
        </w:rPr>
        <w:t>（二）政府采购支出说明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政府采购支出。</w:t>
      </w:r>
    </w:p>
    <w:p>
      <w:pPr>
        <w:numPr>
          <w:ilvl w:val="0"/>
          <w:numId w:val="0"/>
        </w:numPr>
        <w:bidi w:val="0"/>
        <w:ind w:leftChars="200"/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  <w:lang w:val="en-US" w:eastAsia="zh-CN" w:bidi="ar-SA"/>
        </w:rPr>
        <w:t>（三）国有资产占用情况说明</w:t>
      </w:r>
    </w:p>
    <w:p>
      <w:pPr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工会法》的有关规定，工会资产由工会组织独立核算、独立管理，因此本单位无国有资产占用情况。</w:t>
      </w:r>
    </w:p>
    <w:p>
      <w:pPr>
        <w:numPr>
          <w:ilvl w:val="0"/>
          <w:numId w:val="0"/>
        </w:numPr>
        <w:bidi w:val="0"/>
        <w:ind w:leftChars="200"/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kern w:val="44"/>
          <w:sz w:val="32"/>
          <w:szCs w:val="32"/>
          <w:highlight w:val="none"/>
          <w:lang w:val="en-US" w:eastAsia="zh-CN" w:bidi="ar-SA"/>
        </w:rPr>
        <w:t>（四）预算绩效情况说明</w:t>
      </w:r>
    </w:p>
    <w:p>
      <w:pPr>
        <w:ind w:firstLine="64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2025年度</w:t>
      </w:r>
      <w:r>
        <w:rPr>
          <w:rFonts w:hint="eastAsia" w:ascii="黑体" w:hAnsi="黑体" w:eastAsia="黑体" w:cs="黑体"/>
          <w:sz w:val="32"/>
          <w:szCs w:val="32"/>
        </w:rPr>
        <w:t>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预算表</w:t>
      </w:r>
    </w:p>
    <w:p>
      <w:pPr>
        <w:numPr>
          <w:ilvl w:val="0"/>
          <w:numId w:val="0"/>
        </w:numPr>
        <w:spacing w:line="560" w:lineRule="exact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襄阳市工会干部学校预算公开表（见附件）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名词解释</w:t>
      </w:r>
    </w:p>
    <w:p>
      <w:pPr>
        <w:spacing w:after="2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（一）财政拨款收入：指襄阳市工会干部学校从同级财政部门取得的财政预算资金。</w:t>
      </w:r>
    </w:p>
    <w:p>
      <w:pPr>
        <w:spacing w:after="2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（二）一般公共服务支出：反映襄阳市工会干部学校一般公共服务的支出。</w:t>
      </w:r>
    </w:p>
    <w:p>
      <w:pPr>
        <w:spacing w:after="2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（三）“三公”经费：按照有关规定，“三公”经费包括因公出国（境）费、公务接待费、公务用车购置及运行费。</w:t>
      </w:r>
    </w:p>
    <w:p>
      <w:pPr>
        <w:spacing w:after="2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（四）因公出国（境）费：指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襄阳市工会干部学校</w:t>
      </w:r>
      <w:r>
        <w:rPr>
          <w:rFonts w:hint="eastAsia" w:ascii="仿宋" w:hAnsi="仿宋" w:eastAsia="仿宋" w:cs="仿宋"/>
          <w:sz w:val="32"/>
          <w:szCs w:val="32"/>
        </w:rPr>
        <w:t>公务出国（境）的国际旅费、国外城市间交通费、住宿费、伙食费、培训费、公杂费等支出。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本部门无“三公”预算。</w:t>
      </w:r>
    </w:p>
    <w:p>
      <w:pPr>
        <w:spacing w:after="2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（五）公务接待费：指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襄阳市工会干部学校</w:t>
      </w:r>
      <w:r>
        <w:rPr>
          <w:rFonts w:hint="eastAsia" w:ascii="仿宋" w:hAnsi="仿宋" w:eastAsia="仿宋" w:cs="仿宋"/>
          <w:sz w:val="32"/>
          <w:szCs w:val="32"/>
        </w:rPr>
        <w:t>按规定开支的各类公务接待（含外宾接待）费用。</w:t>
      </w:r>
    </w:p>
    <w:p>
      <w:pPr>
        <w:spacing w:after="2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（六）公务用车购置及运行费：指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襄阳市工会干部学校</w:t>
      </w:r>
      <w:r>
        <w:rPr>
          <w:rFonts w:hint="eastAsia" w:ascii="仿宋" w:hAnsi="仿宋" w:eastAsia="仿宋" w:cs="仿宋"/>
          <w:sz w:val="32"/>
          <w:szCs w:val="32"/>
        </w:rPr>
        <w:t>公务用车车辆购置支出（含车辆购置税）及按规定保留的公务用车租用费、燃料费、维修费、过桥过路费、保险费等支出。</w:t>
      </w:r>
    </w:p>
    <w:p>
      <w:pPr>
        <w:spacing w:after="2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（七）本部门：指襄阳市工会干部学校无政府性基金预算。</w:t>
      </w:r>
    </w:p>
    <w:p>
      <w:pPr>
        <w:spacing w:after="2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（八）本部门：指襄阳市工会干部学校无项目性支出。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Style w:val="7"/>
          <w:rFonts w:hint="eastAsia" w:ascii="黑体" w:hAnsi="黑体" w:eastAsia="黑体" w:cs="Arial"/>
          <w:b w:val="0"/>
          <w:color w:val="333333"/>
          <w:sz w:val="32"/>
          <w:szCs w:val="32"/>
        </w:rPr>
        <w:t>第五部分  附件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中楷繁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B8A64"/>
    <w:multiLevelType w:val="singleLevel"/>
    <w:tmpl w:val="FFFB8A6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zQxZmMyY2VjYzVkZjNkN2ZkMWE1NWFjMjRiM2EifQ=="/>
  </w:docVars>
  <w:rsids>
    <w:rsidRoot w:val="00172A27"/>
    <w:rsid w:val="00177734"/>
    <w:rsid w:val="013E7AC7"/>
    <w:rsid w:val="019964EA"/>
    <w:rsid w:val="01BE2D5A"/>
    <w:rsid w:val="029861A7"/>
    <w:rsid w:val="02A34C5F"/>
    <w:rsid w:val="03201C98"/>
    <w:rsid w:val="04990803"/>
    <w:rsid w:val="051B5FB2"/>
    <w:rsid w:val="05A361EF"/>
    <w:rsid w:val="05C123A9"/>
    <w:rsid w:val="0603185D"/>
    <w:rsid w:val="066F0480"/>
    <w:rsid w:val="069C1222"/>
    <w:rsid w:val="06EA398A"/>
    <w:rsid w:val="07500C2E"/>
    <w:rsid w:val="07C42015"/>
    <w:rsid w:val="08BB4CF2"/>
    <w:rsid w:val="08BF7782"/>
    <w:rsid w:val="09AF5B0A"/>
    <w:rsid w:val="0A30541D"/>
    <w:rsid w:val="0D2838E8"/>
    <w:rsid w:val="0F155897"/>
    <w:rsid w:val="0F5E69F1"/>
    <w:rsid w:val="0F782054"/>
    <w:rsid w:val="0FE232D7"/>
    <w:rsid w:val="103E70D0"/>
    <w:rsid w:val="10644984"/>
    <w:rsid w:val="106C7341"/>
    <w:rsid w:val="107226B0"/>
    <w:rsid w:val="10ED7ECB"/>
    <w:rsid w:val="11CC518A"/>
    <w:rsid w:val="11E06FA9"/>
    <w:rsid w:val="12172533"/>
    <w:rsid w:val="12E80C4A"/>
    <w:rsid w:val="13675281"/>
    <w:rsid w:val="13A721FF"/>
    <w:rsid w:val="13DB4F89"/>
    <w:rsid w:val="14557466"/>
    <w:rsid w:val="14AC6C95"/>
    <w:rsid w:val="15106F4F"/>
    <w:rsid w:val="151C034B"/>
    <w:rsid w:val="175306B7"/>
    <w:rsid w:val="17B24FAF"/>
    <w:rsid w:val="17DF5EC9"/>
    <w:rsid w:val="1980363C"/>
    <w:rsid w:val="19823B1B"/>
    <w:rsid w:val="199B15A1"/>
    <w:rsid w:val="1AAE67BE"/>
    <w:rsid w:val="1ABE6FE3"/>
    <w:rsid w:val="1AD05FDE"/>
    <w:rsid w:val="1CC27AD1"/>
    <w:rsid w:val="1D5D7E69"/>
    <w:rsid w:val="1D7C428F"/>
    <w:rsid w:val="1D9C0305"/>
    <w:rsid w:val="1F085EE0"/>
    <w:rsid w:val="1FB95752"/>
    <w:rsid w:val="210C177B"/>
    <w:rsid w:val="21A86C72"/>
    <w:rsid w:val="21F62F01"/>
    <w:rsid w:val="23933B89"/>
    <w:rsid w:val="23D653BD"/>
    <w:rsid w:val="24317D36"/>
    <w:rsid w:val="25E40F1B"/>
    <w:rsid w:val="290902F6"/>
    <w:rsid w:val="2AA514F8"/>
    <w:rsid w:val="2ABC5374"/>
    <w:rsid w:val="2B146097"/>
    <w:rsid w:val="2B1C41B0"/>
    <w:rsid w:val="2B585B55"/>
    <w:rsid w:val="2C543195"/>
    <w:rsid w:val="2DA17D26"/>
    <w:rsid w:val="2F052A80"/>
    <w:rsid w:val="2F07148C"/>
    <w:rsid w:val="3069714B"/>
    <w:rsid w:val="30B11BE5"/>
    <w:rsid w:val="31072E65"/>
    <w:rsid w:val="317821EF"/>
    <w:rsid w:val="31902C3E"/>
    <w:rsid w:val="3204491F"/>
    <w:rsid w:val="324D79F5"/>
    <w:rsid w:val="32683364"/>
    <w:rsid w:val="33192BBE"/>
    <w:rsid w:val="332424D1"/>
    <w:rsid w:val="33A066C8"/>
    <w:rsid w:val="341328FE"/>
    <w:rsid w:val="342815E4"/>
    <w:rsid w:val="35FE13F5"/>
    <w:rsid w:val="364A12E8"/>
    <w:rsid w:val="36C06BEC"/>
    <w:rsid w:val="37054B8B"/>
    <w:rsid w:val="37CB2439"/>
    <w:rsid w:val="386A515B"/>
    <w:rsid w:val="38E677D5"/>
    <w:rsid w:val="391F30E3"/>
    <w:rsid w:val="395B619F"/>
    <w:rsid w:val="395C49BB"/>
    <w:rsid w:val="39D57AEA"/>
    <w:rsid w:val="39E73ADD"/>
    <w:rsid w:val="3A96743D"/>
    <w:rsid w:val="3AA739BB"/>
    <w:rsid w:val="3B2E0A9A"/>
    <w:rsid w:val="3BA63E73"/>
    <w:rsid w:val="3C300DB8"/>
    <w:rsid w:val="3CCC762D"/>
    <w:rsid w:val="3E1875F9"/>
    <w:rsid w:val="3E5B4041"/>
    <w:rsid w:val="3F134852"/>
    <w:rsid w:val="3FA93C5C"/>
    <w:rsid w:val="3FD85D09"/>
    <w:rsid w:val="40117033"/>
    <w:rsid w:val="402C37E7"/>
    <w:rsid w:val="40557BBD"/>
    <w:rsid w:val="40E575B6"/>
    <w:rsid w:val="415E5FF2"/>
    <w:rsid w:val="41912E59"/>
    <w:rsid w:val="42C7362B"/>
    <w:rsid w:val="467B616A"/>
    <w:rsid w:val="46F32AFF"/>
    <w:rsid w:val="47060D6C"/>
    <w:rsid w:val="47DA38F3"/>
    <w:rsid w:val="48493533"/>
    <w:rsid w:val="48BA31C1"/>
    <w:rsid w:val="493555DE"/>
    <w:rsid w:val="4A075347"/>
    <w:rsid w:val="4A273CC0"/>
    <w:rsid w:val="4A7455D7"/>
    <w:rsid w:val="4A831624"/>
    <w:rsid w:val="4AA549ED"/>
    <w:rsid w:val="4AE71047"/>
    <w:rsid w:val="4AFE9C72"/>
    <w:rsid w:val="4C5D745F"/>
    <w:rsid w:val="4C6F174F"/>
    <w:rsid w:val="4CF76003"/>
    <w:rsid w:val="4D5519AB"/>
    <w:rsid w:val="4DF80089"/>
    <w:rsid w:val="4F3B42FB"/>
    <w:rsid w:val="501C4516"/>
    <w:rsid w:val="505C103B"/>
    <w:rsid w:val="50874A7C"/>
    <w:rsid w:val="51870AAC"/>
    <w:rsid w:val="51EF4924"/>
    <w:rsid w:val="5219152A"/>
    <w:rsid w:val="52A707CD"/>
    <w:rsid w:val="533203D0"/>
    <w:rsid w:val="53811054"/>
    <w:rsid w:val="54155AC4"/>
    <w:rsid w:val="54162067"/>
    <w:rsid w:val="544D0F4F"/>
    <w:rsid w:val="54E653C2"/>
    <w:rsid w:val="55A07CB5"/>
    <w:rsid w:val="569D3A25"/>
    <w:rsid w:val="56B20826"/>
    <w:rsid w:val="572343AB"/>
    <w:rsid w:val="593542E4"/>
    <w:rsid w:val="59E6188F"/>
    <w:rsid w:val="5AD83789"/>
    <w:rsid w:val="5B726329"/>
    <w:rsid w:val="5BD443CE"/>
    <w:rsid w:val="5D14783E"/>
    <w:rsid w:val="5D301AE5"/>
    <w:rsid w:val="5D334270"/>
    <w:rsid w:val="5D486349"/>
    <w:rsid w:val="5DCA70C9"/>
    <w:rsid w:val="5DF87710"/>
    <w:rsid w:val="5E84552B"/>
    <w:rsid w:val="5EF63DB3"/>
    <w:rsid w:val="5F4014D0"/>
    <w:rsid w:val="5FB7D088"/>
    <w:rsid w:val="61980F92"/>
    <w:rsid w:val="623F4256"/>
    <w:rsid w:val="627B0ECC"/>
    <w:rsid w:val="64510316"/>
    <w:rsid w:val="645706A8"/>
    <w:rsid w:val="649B2F7D"/>
    <w:rsid w:val="64E32140"/>
    <w:rsid w:val="653448B6"/>
    <w:rsid w:val="65547BFE"/>
    <w:rsid w:val="65836A9C"/>
    <w:rsid w:val="65E968A5"/>
    <w:rsid w:val="661C0CF6"/>
    <w:rsid w:val="662D0574"/>
    <w:rsid w:val="66826A61"/>
    <w:rsid w:val="66A948C2"/>
    <w:rsid w:val="66FEA1B2"/>
    <w:rsid w:val="68593E84"/>
    <w:rsid w:val="69880225"/>
    <w:rsid w:val="69AD32FC"/>
    <w:rsid w:val="69C071DD"/>
    <w:rsid w:val="69C80956"/>
    <w:rsid w:val="6A5A093E"/>
    <w:rsid w:val="6AA00E21"/>
    <w:rsid w:val="6B036724"/>
    <w:rsid w:val="6C5076BD"/>
    <w:rsid w:val="6CC142A2"/>
    <w:rsid w:val="6CF22418"/>
    <w:rsid w:val="6D396136"/>
    <w:rsid w:val="6D8A46AE"/>
    <w:rsid w:val="6DCA1178"/>
    <w:rsid w:val="6E80098A"/>
    <w:rsid w:val="6EA00679"/>
    <w:rsid w:val="70170310"/>
    <w:rsid w:val="710B2708"/>
    <w:rsid w:val="72D022B6"/>
    <w:rsid w:val="73056C0F"/>
    <w:rsid w:val="73972FFE"/>
    <w:rsid w:val="74056784"/>
    <w:rsid w:val="74823C8D"/>
    <w:rsid w:val="75FFAB98"/>
    <w:rsid w:val="76DC4D6B"/>
    <w:rsid w:val="76E81511"/>
    <w:rsid w:val="77E963DD"/>
    <w:rsid w:val="78675726"/>
    <w:rsid w:val="795379F2"/>
    <w:rsid w:val="797353EC"/>
    <w:rsid w:val="7BAA698E"/>
    <w:rsid w:val="7BE063D3"/>
    <w:rsid w:val="7C94315B"/>
    <w:rsid w:val="7CBA5FFE"/>
    <w:rsid w:val="7CD46C1D"/>
    <w:rsid w:val="7F737DF6"/>
    <w:rsid w:val="7FFE3602"/>
    <w:rsid w:val="98FAD649"/>
    <w:rsid w:val="BCBF75A3"/>
    <w:rsid w:val="E6EB0210"/>
    <w:rsid w:val="ED7A6C62"/>
    <w:rsid w:val="EE3B6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next w:val="1"/>
    <w:qFormat/>
    <w:uiPriority w:val="0"/>
    <w:pPr>
      <w:snapToGrid w:val="0"/>
      <w:jc w:val="left"/>
    </w:pPr>
    <w:rPr>
      <w:sz w:val="32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缩进 + 首行缩进:  2 字符"/>
    <w:basedOn w:val="1"/>
    <w:qFormat/>
    <w:uiPriority w:val="0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1995</Words>
  <Characters>2151</Characters>
  <Lines>0</Lines>
  <Paragraphs>0</Paragraphs>
  <TotalTime>21.3333333333333</TotalTime>
  <ScaleCrop>false</ScaleCrop>
  <LinksUpToDate>false</LinksUpToDate>
  <CharactersWithSpaces>2186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王洪云</cp:lastModifiedBy>
  <cp:lastPrinted>2025-02-11T12:18:29Z</cp:lastPrinted>
  <dcterms:modified xsi:type="dcterms:W3CDTF">2025-02-24T17:27:01Z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5F61B4F5583F4D269E0BEC04CA2FA958_13</vt:lpwstr>
  </property>
  <property fmtid="{D5CDD505-2E9C-101B-9397-08002B2CF9AE}" pid="4" name="KSOTemplateDocerSaveRecord">
    <vt:lpwstr>eyJoZGlkIjoiZmM3NGIxZDQwZTJkYzhhOGQ3MWZiMzQ5NWU4OTdkNWIiLCJ1c2VySWQiOiI2NjAxNjA1NzQifQ==</vt:lpwstr>
  </property>
</Properties>
</file>