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/>
          <w:lang w:eastAsia="zh-CN"/>
        </w:rPr>
      </w:pPr>
      <w:r>
        <w:rPr>
          <w:rFonts w:hint="eastAsia" w:ascii="黑体" w:hAnsi="黑体" w:eastAsia="黑体" w:cs="黑体"/>
          <w:b w:val="0"/>
          <w:bCs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lang w:val="en-US" w:eastAsia="zh-CN"/>
        </w:rPr>
        <w:t>1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Style w:val="10"/>
          <w:rFonts w:hint="eastAsia" w:ascii="CESI小标宋-GB2312" w:hAnsi="CESI小标宋-GB2312" w:eastAsia="CESI小标宋-GB2312" w:cs="CESI小标宋-GB2312"/>
          <w:b w:val="0"/>
          <w:bCs w:val="0"/>
          <w:color w:val="000000"/>
          <w:kern w:val="2"/>
          <w:szCs w:val="44"/>
          <w:u w:val="none"/>
        </w:rPr>
      </w:pPr>
      <w:r>
        <w:rPr>
          <w:rStyle w:val="10"/>
          <w:rFonts w:hint="eastAsia" w:ascii="CESI小标宋-GB2312" w:hAnsi="CESI小标宋-GB2312" w:eastAsia="CESI小标宋-GB2312" w:cs="CESI小标宋-GB2312"/>
          <w:b w:val="0"/>
          <w:bCs w:val="0"/>
          <w:color w:val="000000"/>
          <w:kern w:val="2"/>
          <w:szCs w:val="44"/>
          <w:u w:val="none"/>
        </w:rPr>
        <w:t>采购</w:t>
      </w:r>
      <w:r>
        <w:rPr>
          <w:rStyle w:val="10"/>
          <w:rFonts w:hint="eastAsia" w:ascii="CESI小标宋-GB2312" w:hAnsi="CESI小标宋-GB2312" w:eastAsia="CESI小标宋-GB2312" w:cs="CESI小标宋-GB2312"/>
          <w:b w:val="0"/>
          <w:bCs w:val="0"/>
          <w:color w:val="000000"/>
          <w:kern w:val="2"/>
          <w:szCs w:val="44"/>
          <w:u w:val="none"/>
          <w:lang w:eastAsia="zh-CN"/>
        </w:rPr>
        <w:t>服务</w:t>
      </w:r>
      <w:r>
        <w:rPr>
          <w:rStyle w:val="10"/>
          <w:rFonts w:hint="eastAsia" w:ascii="CESI小标宋-GB2312" w:hAnsi="CESI小标宋-GB2312" w:eastAsia="CESI小标宋-GB2312" w:cs="CESI小标宋-GB2312"/>
          <w:b w:val="0"/>
          <w:bCs w:val="0"/>
          <w:color w:val="000000"/>
          <w:kern w:val="2"/>
          <w:szCs w:val="44"/>
          <w:u w:val="none"/>
        </w:rPr>
        <w:t>项目要求</w:t>
      </w:r>
    </w:p>
    <w:p>
      <w:pPr>
        <w:pageBreakBefore w:val="0"/>
        <w:wordWrap/>
        <w:overflowPunct/>
        <w:topLinePunct w:val="0"/>
        <w:bidi w:val="0"/>
        <w:spacing w:line="560" w:lineRule="exact"/>
        <w:rPr>
          <w:rFonts w:hint="eastAsia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根据襄阳市襄工办〔202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号文件精神，做好襄阳市行政区划内（含中央和省属）各企事业单位、机关团体在职职工重大疾病医疗互助活动的服务，结合襄阳市实际情况和《襄阳市职工重大疾病医疗互助办法（试行）》（202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版）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提供有关服务，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由供应商提供业务系统，作为数据处理的平台，实现采购人对数据管理的要求。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医疗互助金审核管理服务内容及标准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收单交接、离场文档处理服务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42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收单交接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分为单证接收及返还服务两部分。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具体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服务内容及标准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单证接收：在襄阳市内，提供每周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次免费至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市总工会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办公场所的上门收单服务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派专人至现场收集申请材料、需扫描的线下物理件等。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单证返还：在襄阳市内，提供每周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次免费至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市总工会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办公场所的上门返件服务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申请材料、需扫描的线下物理件完成电子归档后专人再送还市总工会。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3）</w:t>
      </w:r>
      <w:r>
        <w:rPr>
          <w:rFonts w:hint="eastAsia" w:ascii="仿宋_GB2312" w:hAnsi="仿宋_GB2312" w:eastAsia="仿宋_GB2312" w:cs="仿宋_GB2312"/>
          <w:sz w:val="32"/>
          <w:szCs w:val="32"/>
        </w:rPr>
        <w:t>单证接收与单证返还环节，双方均需要在收到案件材料后及时进行确认。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42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2.离场文档处理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双方商定，对于医疗互助金审核管理物理件，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需</w:t>
      </w:r>
      <w:r>
        <w:rPr>
          <w:rFonts w:hint="eastAsia" w:ascii="仿宋_GB2312" w:hAnsi="仿宋_GB2312" w:eastAsia="仿宋_GB2312" w:cs="仿宋_GB2312"/>
          <w:sz w:val="32"/>
          <w:szCs w:val="32"/>
        </w:rPr>
        <w:t>使用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采购方的</w:t>
      </w:r>
      <w:r>
        <w:rPr>
          <w:rFonts w:hint="eastAsia" w:ascii="仿宋_GB2312" w:hAnsi="仿宋_GB2312" w:eastAsia="仿宋_GB2312" w:cs="仿宋_GB2312"/>
          <w:sz w:val="32"/>
          <w:szCs w:val="32"/>
        </w:rPr>
        <w:t>业务系统，将医疗互助金审核管理物理件扫描成电子影像文件，负责将该环节处理的有关影像和数据收发、传送给市总工会。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并将资料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按照市总工会档案管理的相关规则进行整理。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具体要求及标准如下：</w:t>
      </w:r>
    </w:p>
    <w:tbl>
      <w:tblPr>
        <w:tblStyle w:val="11"/>
        <w:tblW w:w="897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3"/>
        <w:gridCol w:w="2850"/>
        <w:gridCol w:w="486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2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  <w:t>服务名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称</w:t>
            </w:r>
          </w:p>
        </w:tc>
        <w:tc>
          <w:tcPr>
            <w:tcW w:w="2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  <w:t>服务内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容</w:t>
            </w:r>
          </w:p>
        </w:tc>
        <w:tc>
          <w:tcPr>
            <w:tcW w:w="48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  <w:t>服务标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2" w:hRule="atLeast"/>
        </w:trPr>
        <w:tc>
          <w:tcPr>
            <w:tcW w:w="12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材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料整理</w:t>
            </w:r>
          </w:p>
        </w:tc>
        <w:tc>
          <w:tcPr>
            <w:tcW w:w="2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19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1)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按照市总工会的要求对物理材料进行排序、整理；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19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2)去除案件材料的其他金属件，用订书机在材料的左上角进行装订。</w:t>
            </w:r>
          </w:p>
        </w:tc>
        <w:tc>
          <w:tcPr>
            <w:tcW w:w="4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/>
              <w:textAlignment w:val="baseline"/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position w:val="-4"/>
                <w:sz w:val="24"/>
                <w:szCs w:val="24"/>
              </w:rPr>
              <w:drawing>
                <wp:inline distT="0" distB="0" distL="114300" distR="114300">
                  <wp:extent cx="47625" cy="121285"/>
                  <wp:effectExtent l="0" t="0" r="9525" b="13335"/>
                  <wp:docPr id="1" name="I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 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1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确保医疗互助金审核管理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案件资料按照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  <w:lang w:eastAsia="zh-CN"/>
              </w:rPr>
              <w:t>市总工会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要</w:t>
            </w:r>
            <w:r>
              <w:rPr>
                <w:rFonts w:hint="eastAsia" w:ascii="仿宋_GB2312" w:hAnsi="仿宋_GB2312" w:eastAsia="仿宋_GB2312" w:cs="仿宋_GB2312"/>
                <w:spacing w:val="-18"/>
                <w:sz w:val="24"/>
                <w:szCs w:val="24"/>
              </w:rPr>
              <w:t>求</w:t>
            </w: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</w:rPr>
              <w:t>的</w:t>
            </w: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</w:rPr>
              <w:t>顺序整理整齐，无遗失；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position w:val="-4"/>
                <w:sz w:val="24"/>
                <w:szCs w:val="24"/>
              </w:rPr>
              <w:drawing>
                <wp:inline distT="0" distB="0" distL="114300" distR="114300">
                  <wp:extent cx="47625" cy="121285"/>
                  <wp:effectExtent l="0" t="0" r="9525" b="13335"/>
                  <wp:docPr id="2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1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确保不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同案件包和不同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  <w:lang w:val="en-US" w:eastAsia="zh-CN"/>
              </w:rPr>
              <w:t>参加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人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的材料不能混装、误装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6" w:hRule="atLeast"/>
        </w:trPr>
        <w:tc>
          <w:tcPr>
            <w:tcW w:w="12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扫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描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19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1)按照市总工会要求的回传文件格式及分辨率，将物理材料扫描转换成电子影像文件；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19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2)根据市总工会要求，对影像进行分类和命名。</w:t>
            </w:r>
          </w:p>
        </w:tc>
        <w:tc>
          <w:tcPr>
            <w:tcW w:w="4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position w:val="-4"/>
                <w:sz w:val="24"/>
                <w:szCs w:val="24"/>
              </w:rPr>
              <w:drawing>
                <wp:inline distT="0" distB="0" distL="114300" distR="114300">
                  <wp:extent cx="47625" cy="121285"/>
                  <wp:effectExtent l="0" t="0" r="9525" b="13335"/>
                  <wp:docPr id="3" name="IM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 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1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彩色影像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JPG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格式，分辨率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15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0*150dpi；黑白影像为TIF格式，分辨率300*3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00dpi；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position w:val="-4"/>
                <w:sz w:val="24"/>
                <w:szCs w:val="24"/>
              </w:rPr>
              <w:drawing>
                <wp:inline distT="0" distB="0" distL="114300" distR="114300">
                  <wp:extent cx="47625" cy="121285"/>
                  <wp:effectExtent l="0" t="0" r="9525" b="13335"/>
                  <wp:docPr id="4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1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影像效果清晰全面(实物件肉眼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可识别，影像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即要求清晰可辨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识。原始文档不清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晰者除外。)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position w:val="-4"/>
                <w:sz w:val="24"/>
                <w:szCs w:val="24"/>
              </w:rPr>
              <w:drawing>
                <wp:inline distT="0" distB="0" distL="114300" distR="114300">
                  <wp:extent cx="47625" cy="121285"/>
                  <wp:effectExtent l="0" t="0" r="9525" b="13335"/>
                  <wp:docPr id="5" name="IM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1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影像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无重叠、无翻转、无歪斜、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无遗漏、无重复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position w:val="-4"/>
                <w:sz w:val="24"/>
                <w:szCs w:val="24"/>
              </w:rPr>
              <w:drawing>
                <wp:inline distT="0" distB="0" distL="114300" distR="114300">
                  <wp:extent cx="47625" cy="121285"/>
                  <wp:effectExtent l="0" t="0" r="9525" b="13335"/>
                  <wp:docPr id="6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1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影像顺序与实物文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档保持一致；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position w:val="-4"/>
                <w:sz w:val="24"/>
                <w:szCs w:val="24"/>
              </w:rPr>
              <w:drawing>
                <wp:inline distT="0" distB="0" distL="114300" distR="114300">
                  <wp:extent cx="47625" cy="121285"/>
                  <wp:effectExtent l="0" t="0" r="9525" b="13335"/>
                  <wp:docPr id="7" name="IM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 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1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影像分类及命名准确，无误。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6" w:hRule="atLeast"/>
        </w:trPr>
        <w:tc>
          <w:tcPr>
            <w:tcW w:w="12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归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档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19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需要按照市总工会的档案整理相关规则进行归档。</w:t>
            </w:r>
          </w:p>
        </w:tc>
        <w:tc>
          <w:tcPr>
            <w:tcW w:w="4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-1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position w:val="-4"/>
                <w:sz w:val="24"/>
                <w:szCs w:val="24"/>
              </w:rPr>
              <w:drawing>
                <wp:inline distT="0" distB="0" distL="114300" distR="114300">
                  <wp:extent cx="47625" cy="121285"/>
                  <wp:effectExtent l="0" t="0" r="9525" b="13335"/>
                  <wp:docPr id="8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1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物理材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料按照要求的顺序整理</w:t>
            </w:r>
            <w:r>
              <w:rPr>
                <w:rFonts w:hint="eastAsia" w:ascii="仿宋_GB2312" w:hAnsi="仿宋_GB2312" w:eastAsia="仿宋_GB2312" w:cs="仿宋_GB2312"/>
                <w:spacing w:val="-21"/>
                <w:sz w:val="24"/>
                <w:szCs w:val="24"/>
              </w:rPr>
              <w:t>整</w:t>
            </w:r>
            <w:r>
              <w:rPr>
                <w:rFonts w:hint="eastAsia" w:ascii="仿宋_GB2312" w:hAnsi="仿宋_GB2312" w:eastAsia="仿宋_GB2312" w:cs="仿宋_GB2312"/>
                <w:spacing w:val="-15"/>
                <w:sz w:val="24"/>
                <w:szCs w:val="24"/>
              </w:rPr>
              <w:t>齐，无遗失。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-1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position w:val="-4"/>
                <w:sz w:val="24"/>
                <w:szCs w:val="24"/>
              </w:rPr>
              <w:drawing>
                <wp:inline distT="0" distB="0" distL="114300" distR="114300">
                  <wp:extent cx="47625" cy="121285"/>
                  <wp:effectExtent l="0" t="0" r="9525" b="13335"/>
                  <wp:docPr id="9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1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按照保障范围、参加互助的年度分别归类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数据采集服务内容及标准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根据质检通过的影像进行申请人信息、事故信息、就诊信息、医疗账单信息的数据采集。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市总工会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提供的医疗互助金审核管理资料及客户信息进行严格保密。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审核理算服务内容及标准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审核人员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需</w:t>
      </w:r>
      <w:r>
        <w:rPr>
          <w:rFonts w:hint="eastAsia" w:ascii="仿宋_GB2312" w:hAnsi="仿宋_GB2312" w:eastAsia="仿宋_GB2312" w:cs="仿宋_GB2312"/>
          <w:sz w:val="32"/>
          <w:szCs w:val="32"/>
        </w:rPr>
        <w:t>基于市总工会提供的申请互助待遇人员清单、给付标准、给付申请书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以及双方确认的审核规则，为市总工会提供理算和权限内案件的审核服务，并按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市总工会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要求的格式回传理算结果及结论信息。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具体要求及标准如下：</w:t>
      </w:r>
    </w:p>
    <w:tbl>
      <w:tblPr>
        <w:tblStyle w:val="11"/>
        <w:tblW w:w="4998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81"/>
        <w:gridCol w:w="2632"/>
        <w:gridCol w:w="474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836" w:type="pct"/>
            <w:tcBorders>
              <w:lef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  <w:t>服务名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称</w:t>
            </w:r>
          </w:p>
        </w:tc>
        <w:tc>
          <w:tcPr>
            <w:tcW w:w="148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  <w:t>服务内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容</w:t>
            </w:r>
          </w:p>
        </w:tc>
        <w:tc>
          <w:tcPr>
            <w:tcW w:w="2677" w:type="pct"/>
            <w:tcBorders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  <w:t>服务标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3" w:hRule="atLeast"/>
        </w:trPr>
        <w:tc>
          <w:tcPr>
            <w:tcW w:w="836" w:type="pct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审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核</w:t>
            </w:r>
          </w:p>
        </w:tc>
        <w:tc>
          <w:tcPr>
            <w:tcW w:w="148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基于给付标准和双方约定的审核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:lang w:eastAsia="zh-CN"/>
              </w:rPr>
              <w:t>规则，对案件进行审核。</w:t>
            </w:r>
          </w:p>
        </w:tc>
        <w:tc>
          <w:tcPr>
            <w:tcW w:w="2677" w:type="pct"/>
            <w:tcBorders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position w:val="-4"/>
                <w:sz w:val="24"/>
                <w:szCs w:val="24"/>
              </w:rPr>
              <w:drawing>
                <wp:inline distT="0" distB="0" distL="114300" distR="114300">
                  <wp:extent cx="47625" cy="121285"/>
                  <wp:effectExtent l="0" t="0" r="9525" b="13335"/>
                  <wp:docPr id="10" name="IM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1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严格遵守《襄阳市职工重大疾病医疗互助办法》（202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版）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position w:val="-4"/>
                <w:sz w:val="24"/>
                <w:szCs w:val="24"/>
              </w:rPr>
              <w:drawing>
                <wp:inline distT="0" distB="0" distL="114300" distR="114300">
                  <wp:extent cx="47625" cy="121285"/>
                  <wp:effectExtent l="0" t="0" r="9525" b="13335"/>
                  <wp:docPr id="11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 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1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严格遵守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双方约定的审核规则。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</w:trPr>
        <w:tc>
          <w:tcPr>
            <w:tcW w:w="836" w:type="pct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理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算</w:t>
            </w:r>
          </w:p>
        </w:tc>
        <w:tc>
          <w:tcPr>
            <w:tcW w:w="148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hanging="4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基于给付标准和双方约定的理算规则，计算赔付金额。</w:t>
            </w:r>
          </w:p>
        </w:tc>
        <w:tc>
          <w:tcPr>
            <w:tcW w:w="2677" w:type="pct"/>
            <w:tcBorders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position w:val="-4"/>
                <w:sz w:val="24"/>
                <w:szCs w:val="24"/>
              </w:rPr>
              <w:drawing>
                <wp:inline distT="0" distB="0" distL="114300" distR="114300">
                  <wp:extent cx="47625" cy="121285"/>
                  <wp:effectExtent l="0" t="0" r="9525" b="13335"/>
                  <wp:docPr id="12" name="IM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1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适用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>《襄阳市职工重大疾病医疗互助办法（试行）》（2025版）第十一条规定的其中一种重大疾病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position w:val="-4"/>
                <w:sz w:val="24"/>
                <w:szCs w:val="24"/>
              </w:rPr>
              <w:drawing>
                <wp:inline distT="0" distB="0" distL="114300" distR="114300">
                  <wp:extent cx="47625" cy="121285"/>
                  <wp:effectExtent l="0" t="0" r="9525" b="13335"/>
                  <wp:docPr id="13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 1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1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适用给付标准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的相关约定。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</w:trPr>
        <w:tc>
          <w:tcPr>
            <w:tcW w:w="836" w:type="pct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回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传信息</w:t>
            </w:r>
          </w:p>
        </w:tc>
        <w:tc>
          <w:tcPr>
            <w:tcW w:w="148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1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按照双方约定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的文件格式回传结案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信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息</w:t>
            </w:r>
          </w:p>
        </w:tc>
        <w:tc>
          <w:tcPr>
            <w:tcW w:w="2677" w:type="pct"/>
            <w:tcBorders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position w:val="-4"/>
                <w:sz w:val="24"/>
                <w:szCs w:val="24"/>
              </w:rPr>
              <w:drawing>
                <wp:inline distT="0" distB="0" distL="114300" distR="114300">
                  <wp:extent cx="47625" cy="121285"/>
                  <wp:effectExtent l="0" t="0" r="9525" b="13335"/>
                  <wp:docPr id="14" name="IM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1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具体接口文档字段及录入要求，由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双方另行约定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。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质量考核标准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(一)服务时效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2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.医疗互助金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审核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管理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收单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时效：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1)线下物理件：平日时，自收到完整的医疗互助金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</w:rPr>
        <w:t>资料之日起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个工作日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内确认是否受理，并将受理结果通知申请单位，同时</w:t>
      </w:r>
      <w:r>
        <w:rPr>
          <w:rFonts w:hint="eastAsia" w:ascii="仿宋_GB2312" w:hAnsi="仿宋_GB2312" w:eastAsia="仿宋_GB2312" w:cs="仿宋_GB2312"/>
          <w:sz w:val="32"/>
          <w:szCs w:val="32"/>
        </w:rPr>
        <w:t>回传至市总工会。高峰期间，由双方根据具体的业务量另行协商时效；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2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2.医疗互助金审核管理服务时效：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)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常规案件审核时效为自受理之日起3个工作日内结案；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)如因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原因导致的回传失败或延误，不计入服务时效。如遇节假日，时效顺延；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)若有需要紧急处理的案件，须按照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市总工会</w:t>
      </w:r>
      <w:r>
        <w:rPr>
          <w:rFonts w:hint="eastAsia" w:ascii="仿宋_GB2312" w:hAnsi="仿宋_GB2312" w:eastAsia="仿宋_GB2312" w:cs="仿宋_GB2312"/>
          <w:sz w:val="32"/>
          <w:szCs w:val="32"/>
        </w:rPr>
        <w:t>指定的顺序做优先处理；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)若平日案件量超过常规量时，可根据具体的业务量，由双方协商后，适当延长医疗互助金审核管理时效；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5)案件如需调查、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</w:t>
      </w:r>
      <w:r>
        <w:rPr>
          <w:rFonts w:hint="eastAsia" w:ascii="仿宋_GB2312" w:hAnsi="仿宋_GB2312" w:eastAsia="仿宋_GB2312" w:cs="仿宋_GB2312"/>
          <w:sz w:val="32"/>
          <w:szCs w:val="32"/>
        </w:rPr>
        <w:t>核等，服务时效扣除调查、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</w:t>
      </w:r>
      <w:r>
        <w:rPr>
          <w:rFonts w:hint="eastAsia" w:ascii="仿宋_GB2312" w:hAnsi="仿宋_GB2312" w:eastAsia="仿宋_GB2312" w:cs="仿宋_GB2312"/>
          <w:sz w:val="32"/>
          <w:szCs w:val="32"/>
        </w:rPr>
        <w:t>核时效。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2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3.档案返还时效：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市总工会</w:t>
      </w:r>
      <w:r>
        <w:rPr>
          <w:rFonts w:hint="eastAsia" w:ascii="仿宋_GB2312" w:hAnsi="仿宋_GB2312" w:eastAsia="仿宋_GB2312" w:cs="仿宋_GB2312"/>
          <w:sz w:val="32"/>
          <w:szCs w:val="32"/>
        </w:rPr>
        <w:t>通知终审结案后5个工作日内，完成归档返还工作。特殊情况或者案件量超过常规量时，需双方协商方可延长归档时效。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三、人员要求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每周二和周四驻场服务，负责收单、初审及咨询答疑。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对拒付异议案件，协助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市总工会</w:t>
      </w:r>
      <w:r>
        <w:rPr>
          <w:rFonts w:hint="eastAsia" w:ascii="仿宋_GB2312" w:hAnsi="仿宋_GB2312" w:eastAsia="仿宋_GB2312" w:cs="仿宋_GB2312"/>
          <w:sz w:val="32"/>
          <w:szCs w:val="32"/>
        </w:rPr>
        <w:t>做好解释说明工作。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专家团队对涉及的病种范围进行审核，确保审核结果的准确性。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baseline"/>
        <w:rPr>
          <w:rFonts w:hint="eastAsia" w:ascii="黑体" w:hAnsi="黑体" w:eastAsia="黑体" w:cs="黑体"/>
          <w:color w:val="auto"/>
          <w:kern w:val="1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baseline"/>
        <w:rPr>
          <w:rFonts w:hint="eastAsia" w:ascii="黑体" w:hAnsi="黑体" w:eastAsia="黑体" w:cs="黑体"/>
          <w:color w:val="auto"/>
          <w:kern w:val="1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baseline"/>
        <w:rPr>
          <w:rFonts w:hint="eastAsia" w:ascii="黑体" w:hAnsi="黑体" w:eastAsia="黑体" w:cs="黑体"/>
          <w:color w:val="auto"/>
          <w:kern w:val="1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baseline"/>
        <w:rPr>
          <w:rFonts w:hint="default" w:ascii="黑体" w:hAnsi="黑体" w:eastAsia="黑体" w:cs="黑体"/>
          <w:color w:val="auto"/>
          <w:kern w:val="1"/>
          <w:sz w:val="32"/>
          <w:szCs w:val="32"/>
          <w:lang w:val="en-US" w:eastAsia="zh-CN" w:bidi="ar-SA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文泉驿微米黑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文泉驿微米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小标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zMmNlMWY5MGUyNzA5Mzc5OTQ5OTdlNTMwYTk3ZmQifQ=="/>
  </w:docVars>
  <w:rsids>
    <w:rsidRoot w:val="1FA7951A"/>
    <w:rsid w:val="11ED0EBF"/>
    <w:rsid w:val="1FA7951A"/>
    <w:rsid w:val="2DDA7ACE"/>
    <w:rsid w:val="3CAE3EE0"/>
    <w:rsid w:val="3F9F7624"/>
    <w:rsid w:val="4EC54525"/>
    <w:rsid w:val="5FADE4D5"/>
    <w:rsid w:val="6A659507"/>
    <w:rsid w:val="6AF066A6"/>
    <w:rsid w:val="6F8717C3"/>
    <w:rsid w:val="6FFDB667"/>
    <w:rsid w:val="7BFDDE98"/>
    <w:rsid w:val="7FBB0262"/>
    <w:rsid w:val="B7E3229A"/>
    <w:rsid w:val="CDFF2D2E"/>
    <w:rsid w:val="D39B9C0F"/>
    <w:rsid w:val="D6F6111C"/>
    <w:rsid w:val="E3FCF510"/>
    <w:rsid w:val="EFD714DD"/>
    <w:rsid w:val="EFF3CEA2"/>
    <w:rsid w:val="F3FFBDA4"/>
    <w:rsid w:val="F6F756C0"/>
    <w:rsid w:val="F7CFE054"/>
    <w:rsid w:val="FA56C827"/>
    <w:rsid w:val="FAEA26C2"/>
    <w:rsid w:val="FAF9F952"/>
    <w:rsid w:val="FDF9A4AE"/>
    <w:rsid w:val="FF6D3CA8"/>
    <w:rsid w:val="FF760B9D"/>
    <w:rsid w:val="FFBD3A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keepNext/>
      <w:keepLines/>
      <w:spacing w:before="340" w:after="330"/>
      <w:jc w:val="center"/>
      <w:outlineLvl w:val="0"/>
    </w:pPr>
    <w:rPr>
      <w:rFonts w:ascii="Calibri" w:hAnsi="Calibri" w:eastAsia="楷体"/>
      <w:b/>
      <w:kern w:val="44"/>
      <w:sz w:val="44"/>
      <w:szCs w:val="20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/>
      <w:jc w:val="left"/>
      <w:outlineLvl w:val="1"/>
    </w:pPr>
    <w:rPr>
      <w:rFonts w:ascii="Arial" w:hAnsi="Arial" w:eastAsia="楷体"/>
      <w:b/>
      <w:sz w:val="32"/>
      <w:szCs w:val="20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 Indent 3"/>
    <w:basedOn w:val="1"/>
    <w:qFormat/>
    <w:uiPriority w:val="0"/>
    <w:pPr>
      <w:ind w:firstLine="480" w:firstLineChars="200"/>
    </w:pPr>
    <w:rPr>
      <w:rFonts w:eastAsia="楷体_GB2312"/>
      <w:sz w:val="24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Title"/>
    <w:basedOn w:val="1"/>
    <w:qFormat/>
    <w:uiPriority w:val="99"/>
    <w:pPr>
      <w:adjustRightInd w:val="0"/>
      <w:spacing w:before="240" w:after="60"/>
      <w:jc w:val="center"/>
      <w:textAlignment w:val="baseline"/>
      <w:outlineLvl w:val="0"/>
    </w:pPr>
    <w:rPr>
      <w:rFonts w:ascii="Arial" w:hAnsi="Arial" w:eastAsia="楷体"/>
      <w:b/>
      <w:kern w:val="0"/>
      <w:sz w:val="44"/>
      <w:szCs w:val="20"/>
    </w:rPr>
  </w:style>
  <w:style w:type="character" w:styleId="10">
    <w:name w:val="Hyperlink"/>
    <w:basedOn w:val="9"/>
    <w:qFormat/>
    <w:uiPriority w:val="99"/>
    <w:rPr>
      <w:rFonts w:cs="Times New Roman"/>
      <w:color w:val="0000FF"/>
      <w:u w:val="single"/>
    </w:rPr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2022-10-19T11:41:00Z</dcterms:created>
  <dc:creator>王星懿</dc:creator>
  <cp:lastModifiedBy>thtf</cp:lastModifiedBy>
  <cp:lastPrinted>2026-02-11T09:40:00Z</cp:lastPrinted>
  <dcterms:modified xsi:type="dcterms:W3CDTF">2026-03-23T09:45:52Z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EAFBDAB58625404986179EBB370A579E_13</vt:lpwstr>
  </property>
</Properties>
</file>